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866"/>
      </w:tblGrid>
      <w:tr w:rsidR="00330EC2" w:rsidRPr="008D3C3E" w14:paraId="1CC9DEA7" w14:textId="77777777" w:rsidTr="00922519">
        <w:tc>
          <w:tcPr>
            <w:tcW w:w="2160" w:type="dxa"/>
          </w:tcPr>
          <w:p w14:paraId="0AE2D953" w14:textId="77777777" w:rsidR="00330EC2" w:rsidRPr="008D3C3E" w:rsidRDefault="00330EC2" w:rsidP="000253A8">
            <w:pPr>
              <w:ind w:firstLine="0"/>
              <w:rPr>
                <w:b/>
                <w:bCs/>
                <w:sz w:val="24"/>
                <w:szCs w:val="24"/>
                <w:lang w:val="en-GB"/>
              </w:rPr>
            </w:pPr>
            <w:r w:rsidRPr="008D3C3E">
              <w:rPr>
                <w:b/>
                <w:bCs/>
                <w:sz w:val="24"/>
                <w:szCs w:val="24"/>
                <w:lang w:val="en-GB"/>
              </w:rPr>
              <w:t>Forum</w:t>
            </w:r>
          </w:p>
        </w:tc>
        <w:tc>
          <w:tcPr>
            <w:tcW w:w="6866" w:type="dxa"/>
          </w:tcPr>
          <w:p w14:paraId="3BB7FF4C" w14:textId="77777777" w:rsidR="00330EC2" w:rsidRPr="008D3C3E" w:rsidRDefault="00330EC2" w:rsidP="000253A8">
            <w:pPr>
              <w:ind w:firstLine="0"/>
              <w:rPr>
                <w:sz w:val="24"/>
                <w:szCs w:val="24"/>
                <w:lang w:val="en-GB"/>
              </w:rPr>
            </w:pPr>
            <w:r w:rsidRPr="008D3C3E">
              <w:rPr>
                <w:sz w:val="24"/>
                <w:szCs w:val="24"/>
                <w:lang w:val="en-GB"/>
              </w:rPr>
              <w:t>Economic and Social Council</w:t>
            </w:r>
          </w:p>
        </w:tc>
      </w:tr>
      <w:tr w:rsidR="00330EC2" w:rsidRPr="008D3C3E" w14:paraId="3119F0FB" w14:textId="77777777" w:rsidTr="00922519">
        <w:tc>
          <w:tcPr>
            <w:tcW w:w="2160" w:type="dxa"/>
          </w:tcPr>
          <w:p w14:paraId="076F708F" w14:textId="77777777" w:rsidR="00330EC2" w:rsidRPr="008D3C3E" w:rsidRDefault="00330EC2" w:rsidP="000253A8">
            <w:pPr>
              <w:ind w:firstLine="0"/>
              <w:rPr>
                <w:b/>
                <w:bCs/>
                <w:sz w:val="24"/>
                <w:szCs w:val="24"/>
                <w:lang w:val="en-GB"/>
              </w:rPr>
            </w:pPr>
            <w:r w:rsidRPr="008D3C3E">
              <w:rPr>
                <w:b/>
                <w:bCs/>
                <w:sz w:val="24"/>
                <w:szCs w:val="24"/>
                <w:lang w:val="en-GB"/>
              </w:rPr>
              <w:t>Issue</w:t>
            </w:r>
          </w:p>
        </w:tc>
        <w:tc>
          <w:tcPr>
            <w:tcW w:w="6866" w:type="dxa"/>
          </w:tcPr>
          <w:p w14:paraId="593DC0CA" w14:textId="77777777" w:rsidR="00330EC2" w:rsidRPr="008D3C3E" w:rsidRDefault="00330EC2" w:rsidP="000253A8">
            <w:pPr>
              <w:ind w:firstLine="0"/>
              <w:rPr>
                <w:sz w:val="24"/>
                <w:szCs w:val="24"/>
                <w:lang w:val="en-GB"/>
              </w:rPr>
            </w:pPr>
            <w:r w:rsidRPr="008D3C3E">
              <w:rPr>
                <w:sz w:val="24"/>
                <w:szCs w:val="24"/>
                <w:lang w:val="en-GB"/>
              </w:rPr>
              <w:t>Addressing the income inequality in the Sub-Saharan African region through equitable taxation</w:t>
            </w:r>
          </w:p>
        </w:tc>
      </w:tr>
      <w:tr w:rsidR="00330EC2" w:rsidRPr="008D3C3E" w14:paraId="37B45FC5" w14:textId="77777777" w:rsidTr="00922519">
        <w:tc>
          <w:tcPr>
            <w:tcW w:w="2160" w:type="dxa"/>
          </w:tcPr>
          <w:p w14:paraId="4B3EA0BA" w14:textId="77777777" w:rsidR="00330EC2" w:rsidRPr="008D3C3E" w:rsidRDefault="00330EC2" w:rsidP="000253A8">
            <w:pPr>
              <w:ind w:firstLine="0"/>
              <w:rPr>
                <w:b/>
                <w:bCs/>
                <w:sz w:val="24"/>
                <w:szCs w:val="24"/>
                <w:lang w:val="en-GB"/>
              </w:rPr>
            </w:pPr>
            <w:r w:rsidRPr="008D3C3E">
              <w:rPr>
                <w:b/>
                <w:bCs/>
                <w:sz w:val="24"/>
                <w:szCs w:val="24"/>
                <w:lang w:val="en-GB"/>
              </w:rPr>
              <w:t>Student Officer</w:t>
            </w:r>
          </w:p>
        </w:tc>
        <w:tc>
          <w:tcPr>
            <w:tcW w:w="6866" w:type="dxa"/>
          </w:tcPr>
          <w:p w14:paraId="3CA8EDB7" w14:textId="3541C0CB" w:rsidR="00330EC2" w:rsidRPr="008D3C3E" w:rsidRDefault="00330EC2" w:rsidP="000253A8">
            <w:pPr>
              <w:ind w:firstLine="0"/>
              <w:rPr>
                <w:sz w:val="24"/>
                <w:szCs w:val="24"/>
                <w:lang w:val="en-GB"/>
              </w:rPr>
            </w:pPr>
            <w:r w:rsidRPr="008D3C3E">
              <w:rPr>
                <w:sz w:val="24"/>
                <w:szCs w:val="24"/>
                <w:lang w:val="en-GB"/>
              </w:rPr>
              <w:t>Cecilia Huan</w:t>
            </w:r>
            <w:r w:rsidR="00D7786B" w:rsidRPr="008D3C3E">
              <w:rPr>
                <w:sz w:val="24"/>
                <w:szCs w:val="24"/>
                <w:lang w:val="en-GB"/>
              </w:rPr>
              <w:t>g</w:t>
            </w:r>
          </w:p>
        </w:tc>
      </w:tr>
      <w:tr w:rsidR="00330EC2" w:rsidRPr="008D3C3E" w14:paraId="538B096B" w14:textId="77777777" w:rsidTr="00922519">
        <w:tc>
          <w:tcPr>
            <w:tcW w:w="2160" w:type="dxa"/>
          </w:tcPr>
          <w:p w14:paraId="1DCADDB0" w14:textId="77777777" w:rsidR="00330EC2" w:rsidRPr="008D3C3E" w:rsidRDefault="00330EC2" w:rsidP="000253A8">
            <w:pPr>
              <w:ind w:firstLine="0"/>
              <w:rPr>
                <w:b/>
                <w:bCs/>
                <w:sz w:val="24"/>
                <w:szCs w:val="24"/>
                <w:lang w:val="en-GB"/>
              </w:rPr>
            </w:pPr>
            <w:r w:rsidRPr="008D3C3E">
              <w:rPr>
                <w:b/>
                <w:bCs/>
                <w:sz w:val="24"/>
                <w:szCs w:val="24"/>
                <w:lang w:val="en-GB"/>
              </w:rPr>
              <w:t>Position</w:t>
            </w:r>
          </w:p>
        </w:tc>
        <w:tc>
          <w:tcPr>
            <w:tcW w:w="6866" w:type="dxa"/>
          </w:tcPr>
          <w:p w14:paraId="0AA7699B" w14:textId="77777777" w:rsidR="00330EC2" w:rsidRPr="008D3C3E" w:rsidRDefault="00330EC2" w:rsidP="000253A8">
            <w:pPr>
              <w:ind w:firstLine="0"/>
              <w:rPr>
                <w:sz w:val="24"/>
                <w:szCs w:val="24"/>
                <w:lang w:val="en-GB" w:eastAsia="zh-CN"/>
              </w:rPr>
            </w:pPr>
            <w:r w:rsidRPr="008D3C3E">
              <w:rPr>
                <w:sz w:val="24"/>
                <w:szCs w:val="24"/>
                <w:lang w:val="en-GB"/>
              </w:rPr>
              <w:t>President</w:t>
            </w:r>
          </w:p>
        </w:tc>
      </w:tr>
    </w:tbl>
    <w:p w14:paraId="17F52ADC" w14:textId="77777777" w:rsidR="00330EC2" w:rsidRPr="008D3C3E" w:rsidRDefault="00330EC2" w:rsidP="000253A8">
      <w:pPr>
        <w:ind w:firstLine="0"/>
        <w:rPr>
          <w:lang w:val="en-GB"/>
        </w:rPr>
      </w:pPr>
      <w:r w:rsidRPr="008D3C3E">
        <w:rPr>
          <w:noProof/>
          <w:lang w:val="en-GB"/>
        </w:rPr>
        <mc:AlternateContent>
          <mc:Choice Requires="wps">
            <w:drawing>
              <wp:anchor distT="0" distB="0" distL="114300" distR="114300" simplePos="0" relativeHeight="251659264" behindDoc="0" locked="0" layoutInCell="1" allowOverlap="1" wp14:anchorId="06E1FEA5" wp14:editId="26F2C51A">
                <wp:simplePos x="0" y="0"/>
                <wp:positionH relativeFrom="column">
                  <wp:posOffset>7620</wp:posOffset>
                </wp:positionH>
                <wp:positionV relativeFrom="paragraph">
                  <wp:posOffset>135092</wp:posOffset>
                </wp:positionV>
                <wp:extent cx="5737253" cy="0"/>
                <wp:effectExtent l="0" t="12700" r="15875" b="12700"/>
                <wp:wrapNone/>
                <wp:docPr id="2092418566" name="Straight Connector 1"/>
                <wp:cNvGraphicFramePr/>
                <a:graphic xmlns:a="http://schemas.openxmlformats.org/drawingml/2006/main">
                  <a:graphicData uri="http://schemas.microsoft.com/office/word/2010/wordprocessingShape">
                    <wps:wsp>
                      <wps:cNvCnPr/>
                      <wps:spPr>
                        <a:xfrm>
                          <a:off x="0" y="0"/>
                          <a:ext cx="5737253" cy="0"/>
                        </a:xfrm>
                        <a:prstGeom prst="line">
                          <a:avLst/>
                        </a:prstGeom>
                        <a:ln w="19050">
                          <a:solidFill>
                            <a:srgbClr val="2FCE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A9F43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0.65pt" to="452.35pt,1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" strokecolor="#2fced6" strokeweight="1.5pt">
                <v:stroke joinstyle="miter"/>
              </v:line>
            </w:pict>
          </mc:Fallback>
        </mc:AlternateContent>
      </w:r>
    </w:p>
    <w:p w14:paraId="3379FD5C" w14:textId="77777777" w:rsidR="00330EC2" w:rsidRPr="008D3C3E" w:rsidRDefault="00330EC2" w:rsidP="000253A8">
      <w:pPr>
        <w:pStyle w:val="Heading1"/>
        <w:rPr>
          <w:lang w:val="en-GB"/>
        </w:rPr>
      </w:pPr>
      <w:r w:rsidRPr="008D3C3E">
        <w:rPr>
          <w:lang w:val="en-GB"/>
        </w:rPr>
        <w:t>Introduction</w:t>
      </w:r>
    </w:p>
    <w:p w14:paraId="69F9782E" w14:textId="7E11404B" w:rsidR="00330EC2" w:rsidRPr="008D3C3E" w:rsidRDefault="00B05C16" w:rsidP="000253A8">
      <w:pPr>
        <w:rPr>
          <w:lang w:val="en-GB"/>
        </w:rPr>
      </w:pPr>
      <w:r w:rsidRPr="008D3C3E">
        <w:rPr>
          <w:lang w:val="en-GB"/>
        </w:rPr>
        <w:t xml:space="preserve">Income inequality is one of the most pressing </w:t>
      </w:r>
      <w:r w:rsidR="00A75A4E" w:rsidRPr="008D3C3E">
        <w:rPr>
          <w:lang w:val="en-GB"/>
        </w:rPr>
        <w:t>socio-</w:t>
      </w:r>
      <w:r w:rsidRPr="008D3C3E">
        <w:rPr>
          <w:lang w:val="en-GB"/>
        </w:rPr>
        <w:t xml:space="preserve">economic </w:t>
      </w:r>
      <w:r w:rsidR="00A75A4E" w:rsidRPr="008D3C3E">
        <w:rPr>
          <w:lang w:val="en-GB"/>
        </w:rPr>
        <w:t>issues</w:t>
      </w:r>
      <w:r w:rsidRPr="008D3C3E">
        <w:rPr>
          <w:lang w:val="en-GB"/>
        </w:rPr>
        <w:t xml:space="preserve"> in Sub-Saharan Africa. While some countries have had periods of economic growth, wealth is still unevenly distributed, and the average Gini coefficient in the region remains at around 0.4 to 0.45, indicating high inequality</w:t>
      </w:r>
      <w:r w:rsidR="004A7E2E" w:rsidRPr="008D3C3E">
        <w:rPr>
          <w:lang w:val="en-GB"/>
        </w:rPr>
        <w:t xml:space="preserve"> (World Bank 2024)</w:t>
      </w:r>
      <w:r w:rsidRPr="008D3C3E">
        <w:rPr>
          <w:lang w:val="en-GB"/>
        </w:rPr>
        <w:t xml:space="preserve">. This means that over 40% of the population lives below the international poverty line of $2.15 daily. This </w:t>
      </w:r>
      <w:r w:rsidR="00330EC2" w:rsidRPr="008D3C3E">
        <w:rPr>
          <w:lang w:val="en-GB"/>
        </w:rPr>
        <w:t xml:space="preserve">affects </w:t>
      </w:r>
      <w:r w:rsidR="00E441A8" w:rsidRPr="008D3C3E">
        <w:rPr>
          <w:lang w:val="en-GB"/>
        </w:rPr>
        <w:t>many issues ranging from access to healthcare to basic public services.</w:t>
      </w:r>
    </w:p>
    <w:p w14:paraId="1BCEF416" w14:textId="575F6C47" w:rsidR="00900B76" w:rsidRDefault="00B05C16" w:rsidP="000253A8">
      <w:pPr>
        <w:rPr>
          <w:lang w:val="en-GB"/>
        </w:rPr>
      </w:pPr>
      <w:r w:rsidRPr="008D3C3E">
        <w:rPr>
          <w:lang w:val="en-GB"/>
        </w:rPr>
        <w:t>One of the major factors to this is inequitable taxation systems. Many countries rely on indirect taxes such as value-added tax (VAT)</w:t>
      </w:r>
      <w:r w:rsidR="00080548" w:rsidRPr="00080548">
        <w:rPr>
          <w:lang w:val="en-GB"/>
        </w:rPr>
        <w:t xml:space="preserve"> as a significant component of their total</w:t>
      </w:r>
      <w:r w:rsidR="00080548">
        <w:rPr>
          <w:lang w:val="en-GB"/>
        </w:rPr>
        <w:t xml:space="preserve"> </w:t>
      </w:r>
      <w:r w:rsidR="00080548" w:rsidRPr="00080548">
        <w:rPr>
          <w:lang w:val="en-GB"/>
        </w:rPr>
        <w:t xml:space="preserve">revenues. Even though </w:t>
      </w:r>
      <w:r w:rsidR="00080548">
        <w:rPr>
          <w:lang w:val="en-GB"/>
        </w:rPr>
        <w:t>VAT</w:t>
      </w:r>
      <w:r w:rsidR="00080548">
        <w:rPr>
          <w:lang w:eastAsia="zh-CN"/>
        </w:rPr>
        <w:t>s</w:t>
      </w:r>
      <w:r w:rsidR="00080548" w:rsidRPr="00080548">
        <w:rPr>
          <w:lang w:val="en-GB"/>
        </w:rPr>
        <w:t xml:space="preserve"> </w:t>
      </w:r>
      <w:r w:rsidR="00080548">
        <w:rPr>
          <w:lang w:val="en-GB"/>
        </w:rPr>
        <w:t>are an efficient source of revenue</w:t>
      </w:r>
      <w:r w:rsidR="00080548" w:rsidRPr="00080548">
        <w:rPr>
          <w:lang w:val="en-GB"/>
        </w:rPr>
        <w:t xml:space="preserve">, </w:t>
      </w:r>
      <w:r w:rsidR="00080548">
        <w:rPr>
          <w:lang w:val="en-GB"/>
        </w:rPr>
        <w:t>overreliance</w:t>
      </w:r>
      <w:r w:rsidR="00080548" w:rsidRPr="00080548">
        <w:rPr>
          <w:lang w:val="en-GB"/>
        </w:rPr>
        <w:t xml:space="preserve"> on it </w:t>
      </w:r>
      <w:r w:rsidR="00080548">
        <w:rPr>
          <w:lang w:val="en-GB"/>
        </w:rPr>
        <w:t xml:space="preserve">can cause </w:t>
      </w:r>
      <w:r w:rsidR="00080548" w:rsidRPr="00080548">
        <w:rPr>
          <w:lang w:val="en-GB"/>
        </w:rPr>
        <w:t xml:space="preserve">inequality, </w:t>
      </w:r>
      <w:r w:rsidR="00080548">
        <w:rPr>
          <w:lang w:val="en-GB"/>
        </w:rPr>
        <w:t xml:space="preserve">since it </w:t>
      </w:r>
      <w:r w:rsidR="000A6909">
        <w:rPr>
          <w:lang w:val="en-GB"/>
        </w:rPr>
        <w:t xml:space="preserve">disproportionately </w:t>
      </w:r>
      <w:r w:rsidR="00663508" w:rsidRPr="008D3C3E">
        <w:rPr>
          <w:lang w:val="en-GB"/>
        </w:rPr>
        <w:t>affects</w:t>
      </w:r>
      <w:r w:rsidRPr="008D3C3E">
        <w:rPr>
          <w:lang w:val="en-GB"/>
        </w:rPr>
        <w:t xml:space="preserve"> low-income individuals and households</w:t>
      </w:r>
      <w:r w:rsidR="004C2D3C">
        <w:rPr>
          <w:lang w:val="en-GB"/>
        </w:rPr>
        <w:t xml:space="preserve"> who </w:t>
      </w:r>
      <w:r w:rsidR="004C2D3C">
        <w:t xml:space="preserve">spend a higher proportion of their income on consumption compared to higher income </w:t>
      </w:r>
      <w:r w:rsidR="000A6909">
        <w:t>groups</w:t>
      </w:r>
      <w:r w:rsidRPr="008D3C3E">
        <w:rPr>
          <w:lang w:val="en-GB"/>
        </w:rPr>
        <w:t>. Additionally, weak tax administrations limit the impact of direct taxation, which contributes to only 3 to 5% of the GDP. Tax evasions and illicit financial flows cost the region $50 to 90 billion annually, further worsening the issue</w:t>
      </w:r>
    </w:p>
    <w:p w14:paraId="0EE37909" w14:textId="77777777" w:rsidR="000253A8" w:rsidRDefault="000253A8" w:rsidP="000253A8">
      <w:pPr>
        <w:rPr>
          <w:lang w:val="en-GB"/>
        </w:rPr>
      </w:pPr>
    </w:p>
    <w:p w14:paraId="4A9749C8" w14:textId="099481B0" w:rsidR="00330EC2" w:rsidRPr="008D3C3E" w:rsidRDefault="00330EC2" w:rsidP="000253A8">
      <w:pPr>
        <w:pStyle w:val="Heading1"/>
        <w:rPr>
          <w:lang w:val="en-GB"/>
        </w:rPr>
      </w:pPr>
      <w:r w:rsidRPr="008D3C3E">
        <w:rPr>
          <w:lang w:val="en-GB"/>
        </w:rPr>
        <w:t xml:space="preserve">Definition of Key Terms </w:t>
      </w:r>
    </w:p>
    <w:p w14:paraId="28F65A92" w14:textId="77777777" w:rsidR="00330EC2" w:rsidRPr="008D3C3E" w:rsidRDefault="00330EC2" w:rsidP="000253A8">
      <w:pPr>
        <w:pStyle w:val="Heading2"/>
        <w:rPr>
          <w:lang w:val="en-GB"/>
        </w:rPr>
      </w:pPr>
      <w:r w:rsidRPr="008D3C3E">
        <w:rPr>
          <w:bCs/>
          <w:lang w:val="en-GB"/>
        </w:rPr>
        <w:t>Equitable taxation</w:t>
      </w:r>
    </w:p>
    <w:p w14:paraId="4FE378D7" w14:textId="21F5BECA" w:rsidR="005D2709" w:rsidRPr="008D3C3E" w:rsidRDefault="005D2709" w:rsidP="000253A8">
      <w:pPr>
        <w:rPr>
          <w:lang w:val="en-GB" w:eastAsia="en-US"/>
        </w:rPr>
      </w:pPr>
      <w:r w:rsidRPr="008D3C3E">
        <w:rPr>
          <w:lang w:val="en-GB" w:eastAsia="en-US"/>
        </w:rPr>
        <w:t>Equitable taxation is a system where tax rates increase as income levels rise, based on horizontal equity (people in the same income group should pay the same amount of taxes) and vertical equity (people in different income groups should pay different taxes).</w:t>
      </w:r>
    </w:p>
    <w:p w14:paraId="2D2AC967" w14:textId="44B9538D" w:rsidR="00330EC2" w:rsidRPr="008D3C3E" w:rsidRDefault="00330EC2" w:rsidP="000253A8">
      <w:pPr>
        <w:pStyle w:val="Heading2"/>
        <w:rPr>
          <w:lang w:val="en-GB"/>
        </w:rPr>
      </w:pPr>
      <w:r w:rsidRPr="008D3C3E">
        <w:rPr>
          <w:bCs/>
          <w:lang w:val="en-GB"/>
        </w:rPr>
        <w:t>Illicit financial flows</w:t>
      </w:r>
    </w:p>
    <w:p w14:paraId="5D7D4530" w14:textId="5E2BF09D" w:rsidR="00330EC2" w:rsidRPr="008D3C3E" w:rsidRDefault="00330EC2" w:rsidP="000253A8">
      <w:pPr>
        <w:ind w:firstLine="0"/>
        <w:rPr>
          <w:lang w:val="en-GB"/>
        </w:rPr>
      </w:pPr>
      <w:r w:rsidRPr="008D3C3E">
        <w:rPr>
          <w:b/>
          <w:lang w:val="en-GB"/>
        </w:rPr>
        <w:tab/>
      </w:r>
      <w:r w:rsidRPr="008D3C3E">
        <w:rPr>
          <w:lang w:val="en-GB"/>
        </w:rPr>
        <w:t>Illicit financial flows refer to t</w:t>
      </w:r>
      <w:r w:rsidR="00BE547E" w:rsidRPr="008D3C3E">
        <w:rPr>
          <w:lang w:val="en-GB"/>
        </w:rPr>
        <w:t xml:space="preserve">he illegal movements of money or capital from one country to another through </w:t>
      </w:r>
      <w:r w:rsidR="00FC090A" w:rsidRPr="008D3C3E">
        <w:rPr>
          <w:lang w:val="en-GB"/>
        </w:rPr>
        <w:t>corruption,</w:t>
      </w:r>
      <w:r w:rsidRPr="008D3C3E">
        <w:rPr>
          <w:lang w:val="en-GB"/>
        </w:rPr>
        <w:t xml:space="preserve"> tax evasion, and money laundering.</w:t>
      </w:r>
    </w:p>
    <w:p w14:paraId="324689FB" w14:textId="4C2E1960" w:rsidR="00330EC2" w:rsidRPr="008D3C3E" w:rsidRDefault="00330EC2" w:rsidP="000253A8">
      <w:pPr>
        <w:pStyle w:val="Heading2"/>
        <w:rPr>
          <w:lang w:val="en-GB"/>
        </w:rPr>
      </w:pPr>
      <w:r w:rsidRPr="008D3C3E">
        <w:rPr>
          <w:bCs/>
          <w:lang w:val="en-GB"/>
        </w:rPr>
        <w:lastRenderedPageBreak/>
        <w:t xml:space="preserve">Gini </w:t>
      </w:r>
      <w:r w:rsidR="00780720">
        <w:rPr>
          <w:bCs/>
          <w:lang w:val="en-GB"/>
        </w:rPr>
        <w:t>c</w:t>
      </w:r>
      <w:r w:rsidRPr="008D3C3E">
        <w:rPr>
          <w:bCs/>
          <w:lang w:val="en-GB"/>
        </w:rPr>
        <w:t>oefficient</w:t>
      </w:r>
    </w:p>
    <w:p w14:paraId="57283DAC" w14:textId="63A0A743" w:rsidR="00330EC2" w:rsidRPr="008D3C3E" w:rsidRDefault="00330EC2" w:rsidP="000253A8">
      <w:pPr>
        <w:pStyle w:val="Heading2"/>
        <w:ind w:firstLine="720"/>
        <w:rPr>
          <w:b w:val="0"/>
          <w:sz w:val="22"/>
          <w:szCs w:val="22"/>
          <w:lang w:val="en-GB"/>
        </w:rPr>
      </w:pPr>
      <w:r w:rsidRPr="008D3C3E">
        <w:rPr>
          <w:b w:val="0"/>
          <w:sz w:val="22"/>
          <w:szCs w:val="22"/>
          <w:lang w:val="en-GB"/>
        </w:rPr>
        <w:t>The Gini coefficient</w:t>
      </w:r>
      <w:r w:rsidR="00735D1F">
        <w:rPr>
          <w:b w:val="0"/>
          <w:sz w:val="22"/>
          <w:szCs w:val="22"/>
          <w:lang w:val="en-GB"/>
        </w:rPr>
        <w:t>, also referred to the as the Gini index,</w:t>
      </w:r>
      <w:r w:rsidRPr="008D3C3E">
        <w:rPr>
          <w:b w:val="0"/>
          <w:sz w:val="22"/>
          <w:szCs w:val="22"/>
          <w:lang w:val="en-GB"/>
        </w:rPr>
        <w:t xml:space="preserve"> is a way to measure income inequality within a population, ranging from 0 (perfect equality) to 1 (perfect inequality), based on the Lorenz curve comparing cumulative income shares.</w:t>
      </w:r>
    </w:p>
    <w:p w14:paraId="3DD2CC82" w14:textId="77777777" w:rsidR="00330EC2" w:rsidRPr="008D3C3E" w:rsidRDefault="00330EC2" w:rsidP="000253A8">
      <w:pPr>
        <w:pStyle w:val="Heading2"/>
        <w:rPr>
          <w:bCs/>
          <w:lang w:val="en-GB"/>
        </w:rPr>
      </w:pPr>
      <w:r w:rsidRPr="008D3C3E">
        <w:rPr>
          <w:bCs/>
          <w:lang w:val="en-GB"/>
        </w:rPr>
        <w:t>Tax evasion</w:t>
      </w:r>
    </w:p>
    <w:p w14:paraId="3FE6DB33" w14:textId="4DC6E482" w:rsidR="00A75A4E" w:rsidRPr="008D3C3E" w:rsidRDefault="00330EC2" w:rsidP="000253A8">
      <w:pPr>
        <w:ind w:firstLine="0"/>
        <w:rPr>
          <w:lang w:val="en-GB"/>
        </w:rPr>
      </w:pPr>
      <w:r w:rsidRPr="008D3C3E">
        <w:rPr>
          <w:b/>
          <w:lang w:val="en-GB"/>
        </w:rPr>
        <w:tab/>
      </w:r>
      <w:r w:rsidRPr="008D3C3E">
        <w:rPr>
          <w:lang w:val="en-GB"/>
        </w:rPr>
        <w:t xml:space="preserve">Tax evasion is the </w:t>
      </w:r>
      <w:r w:rsidR="00BE547E" w:rsidRPr="008D3C3E">
        <w:rPr>
          <w:lang w:val="en-GB"/>
        </w:rPr>
        <w:t>illegal non-payment or under-payment of taxes, usually by deliberately underreporting income or falsifying information</w:t>
      </w:r>
      <w:r w:rsidR="003961F2">
        <w:rPr>
          <w:lang w:val="en-GB"/>
        </w:rPr>
        <w:t>.</w:t>
      </w:r>
    </w:p>
    <w:p w14:paraId="16741A55" w14:textId="77777777" w:rsidR="00A75A4E" w:rsidRPr="008D3C3E" w:rsidRDefault="00A75A4E" w:rsidP="000253A8">
      <w:pPr>
        <w:pStyle w:val="Heading2"/>
        <w:rPr>
          <w:lang w:val="en-GB"/>
        </w:rPr>
      </w:pPr>
      <w:r w:rsidRPr="008D3C3E">
        <w:rPr>
          <w:bCs/>
          <w:lang w:val="en-GB"/>
        </w:rPr>
        <w:t>Sub-Saharan Africa</w:t>
      </w:r>
    </w:p>
    <w:p w14:paraId="5AFC715D" w14:textId="25F9A708" w:rsidR="00330EC2" w:rsidRPr="008D3C3E" w:rsidRDefault="00A75A4E" w:rsidP="000253A8">
      <w:pPr>
        <w:ind w:firstLine="0"/>
        <w:rPr>
          <w:lang w:val="en-GB"/>
        </w:rPr>
      </w:pPr>
      <w:r w:rsidRPr="008D3C3E">
        <w:rPr>
          <w:b/>
          <w:lang w:val="en-GB"/>
        </w:rPr>
        <w:tab/>
      </w:r>
      <w:r w:rsidRPr="008D3C3E">
        <w:rPr>
          <w:lang w:val="en-GB"/>
        </w:rPr>
        <w:t xml:space="preserve">Sub-Saharan Africa refers to the region of the African continent south of the Sahara Desert. The United Nations Development Program (UNDP) lists 46 countries including Nigeria, Kenya, Ethiopia and South Africa, with </w:t>
      </w:r>
      <w:r w:rsidR="008D3C3E" w:rsidRPr="008D3C3E">
        <w:rPr>
          <w:lang w:val="en-GB"/>
        </w:rPr>
        <w:t>a population</w:t>
      </w:r>
      <w:r w:rsidRPr="008D3C3E">
        <w:rPr>
          <w:lang w:val="en-GB"/>
        </w:rPr>
        <w:t xml:space="preserve"> of over 1.2 billion people.</w:t>
      </w:r>
    </w:p>
    <w:p w14:paraId="394E407D" w14:textId="565BBAEF" w:rsidR="008D3C3E" w:rsidRPr="008D3C3E" w:rsidRDefault="008D3C3E" w:rsidP="000253A8">
      <w:pPr>
        <w:pStyle w:val="Heading2"/>
        <w:rPr>
          <w:lang w:val="en-GB"/>
        </w:rPr>
      </w:pPr>
      <w:r w:rsidRPr="008D3C3E">
        <w:rPr>
          <w:bCs/>
          <w:lang w:val="en-GB"/>
        </w:rPr>
        <w:t>Value-added Tax (VAT)</w:t>
      </w:r>
    </w:p>
    <w:p w14:paraId="1ECF951B" w14:textId="74566938" w:rsidR="003961F2" w:rsidRDefault="008D3C3E" w:rsidP="000253A8">
      <w:pPr>
        <w:ind w:firstLine="0"/>
        <w:rPr>
          <w:lang w:val="en-GB"/>
        </w:rPr>
      </w:pPr>
      <w:r w:rsidRPr="008D3C3E">
        <w:rPr>
          <w:b/>
          <w:lang w:val="en-GB"/>
        </w:rPr>
        <w:tab/>
      </w:r>
      <w:r w:rsidRPr="008D3C3E">
        <w:rPr>
          <w:lang w:val="en-GB"/>
        </w:rPr>
        <w:t>Value-added tax is a consumption tax collected by manufacturers, wholesalers and retailers in the form of a percentage added to certain products or services. It is charged at different stages of production and distribution and finally paid by the consumer.</w:t>
      </w:r>
      <w:r w:rsidR="004C2D3C">
        <w:rPr>
          <w:lang w:val="en-GB"/>
        </w:rPr>
        <w:t xml:space="preserve"> </w:t>
      </w:r>
      <w:r w:rsidR="003961F2" w:rsidRPr="003961F2">
        <w:rPr>
          <w:lang w:val="en-GB"/>
        </w:rPr>
        <w:t xml:space="preserve">The same rate applies to all consumers, </w:t>
      </w:r>
      <w:r w:rsidR="003961F2">
        <w:rPr>
          <w:lang w:val="en-GB"/>
        </w:rPr>
        <w:t>regardless</w:t>
      </w:r>
      <w:r w:rsidR="003961F2" w:rsidRPr="003961F2">
        <w:rPr>
          <w:lang w:val="en-GB"/>
        </w:rPr>
        <w:t xml:space="preserve"> of their income level.</w:t>
      </w:r>
    </w:p>
    <w:p w14:paraId="7022A0B8" w14:textId="77777777" w:rsidR="000253A8" w:rsidRPr="008D3C3E" w:rsidRDefault="000253A8" w:rsidP="000253A8">
      <w:pPr>
        <w:ind w:firstLine="0"/>
        <w:rPr>
          <w:lang w:val="en-GB"/>
        </w:rPr>
      </w:pPr>
    </w:p>
    <w:p w14:paraId="2195EA55" w14:textId="77777777" w:rsidR="00330EC2" w:rsidRPr="008D3C3E" w:rsidRDefault="00330EC2" w:rsidP="000253A8">
      <w:pPr>
        <w:pStyle w:val="Heading1"/>
        <w:rPr>
          <w:lang w:val="en-GB"/>
        </w:rPr>
      </w:pPr>
      <w:r w:rsidRPr="008D3C3E">
        <w:rPr>
          <w:lang w:val="en-GB"/>
        </w:rPr>
        <w:t>Background</w:t>
      </w:r>
    </w:p>
    <w:p w14:paraId="3328C032" w14:textId="4FD1BF1C" w:rsidR="00330EC2" w:rsidRPr="008D3C3E" w:rsidRDefault="00330EC2" w:rsidP="000253A8">
      <w:pPr>
        <w:pStyle w:val="Heading2"/>
        <w:rPr>
          <w:lang w:val="en-GB"/>
        </w:rPr>
      </w:pPr>
      <w:r w:rsidRPr="008D3C3E">
        <w:rPr>
          <w:bCs/>
          <w:lang w:val="en-GB"/>
        </w:rPr>
        <w:t>Historical development of taxation systems</w:t>
      </w:r>
    </w:p>
    <w:p w14:paraId="40EBFF55" w14:textId="7278F435" w:rsidR="003A645A" w:rsidRPr="008D3C3E" w:rsidRDefault="008B0F4D" w:rsidP="000253A8">
      <w:pPr>
        <w:rPr>
          <w:lang w:val="en-GB"/>
        </w:rPr>
      </w:pPr>
      <w:r w:rsidRPr="008D3C3E">
        <w:rPr>
          <w:lang w:val="en-GB"/>
        </w:rPr>
        <w:t xml:space="preserve">During the colonial period, </w:t>
      </w:r>
      <w:r w:rsidR="003A645A" w:rsidRPr="008D3C3E">
        <w:rPr>
          <w:lang w:val="en-GB"/>
        </w:rPr>
        <w:t>colonial governments taxed mainly for extracting resources and not income inequality</w:t>
      </w:r>
      <w:r w:rsidR="00967AB1" w:rsidRPr="008D3C3E">
        <w:rPr>
          <w:lang w:val="en-GB"/>
        </w:rPr>
        <w:t xml:space="preserve"> (Gwaindepi, 2023)</w:t>
      </w:r>
      <w:r w:rsidR="003A645A" w:rsidRPr="008D3C3E">
        <w:rPr>
          <w:lang w:val="en-GB"/>
        </w:rPr>
        <w:t xml:space="preserve">. </w:t>
      </w:r>
      <w:r w:rsidRPr="008D3C3E">
        <w:rPr>
          <w:lang w:val="en-GB"/>
        </w:rPr>
        <w:t xml:space="preserve">These taxation systems </w:t>
      </w:r>
      <w:r w:rsidR="003A645A" w:rsidRPr="008D3C3E">
        <w:rPr>
          <w:lang w:val="en-GB"/>
        </w:rPr>
        <w:t>were more focused</w:t>
      </w:r>
      <w:r w:rsidRPr="008D3C3E">
        <w:rPr>
          <w:lang w:val="en-GB"/>
        </w:rPr>
        <w:t xml:space="preserve"> on consumption and labour, which unequally affects local populations. After their independence, newly formed governments</w:t>
      </w:r>
      <w:r w:rsidR="003253A8" w:rsidRPr="008D3C3E">
        <w:rPr>
          <w:lang w:val="en-GB"/>
        </w:rPr>
        <w:t xml:space="preserve"> had limited tax bases and</w:t>
      </w:r>
      <w:r w:rsidRPr="008D3C3E">
        <w:rPr>
          <w:lang w:val="en-GB"/>
        </w:rPr>
        <w:t xml:space="preserve"> </w:t>
      </w:r>
      <w:r w:rsidR="003A645A" w:rsidRPr="008D3C3E">
        <w:rPr>
          <w:lang w:val="en-GB"/>
        </w:rPr>
        <w:t>lacked the resources and political stability to reform these systems and continued to suffer from indirect taxation and</w:t>
      </w:r>
      <w:r w:rsidR="003253A8" w:rsidRPr="008D3C3E">
        <w:rPr>
          <w:lang w:val="en-GB"/>
        </w:rPr>
        <w:t xml:space="preserve"> the</w:t>
      </w:r>
      <w:r w:rsidR="003A645A" w:rsidRPr="008D3C3E">
        <w:rPr>
          <w:lang w:val="en-GB"/>
        </w:rPr>
        <w:t xml:space="preserve"> use of debt as a financial tool.</w:t>
      </w:r>
    </w:p>
    <w:p w14:paraId="36FDE5BB" w14:textId="5B1321F9" w:rsidR="003A645A" w:rsidRDefault="003A645A" w:rsidP="000253A8">
      <w:pPr>
        <w:rPr>
          <w:lang w:val="en-GB"/>
        </w:rPr>
      </w:pPr>
      <w:r w:rsidRPr="008D3C3E">
        <w:rPr>
          <w:lang w:val="en-GB"/>
        </w:rPr>
        <w:t>In the post-independence period, several attempts were made in</w:t>
      </w:r>
      <w:r w:rsidR="003253A8" w:rsidRPr="008D3C3E">
        <w:rPr>
          <w:lang w:val="en-GB"/>
        </w:rPr>
        <w:t xml:space="preserve"> various</w:t>
      </w:r>
      <w:r w:rsidRPr="008D3C3E">
        <w:rPr>
          <w:lang w:val="en-GB"/>
        </w:rPr>
        <w:t xml:space="preserve"> countries to address the issue of poverty and inequality,</w:t>
      </w:r>
      <w:r w:rsidR="003253A8" w:rsidRPr="008D3C3E">
        <w:rPr>
          <w:lang w:val="en-GB"/>
        </w:rPr>
        <w:t xml:space="preserve"> but few successful due to weak enforcement and political instability</w:t>
      </w:r>
      <w:r w:rsidRPr="008D3C3E">
        <w:rPr>
          <w:lang w:val="en-GB"/>
        </w:rPr>
        <w:t xml:space="preserve">, and even fewer countries were successful in their attempts. </w:t>
      </w:r>
      <w:r w:rsidR="003253A8" w:rsidRPr="008D3C3E">
        <w:rPr>
          <w:lang w:val="en-GB"/>
        </w:rPr>
        <w:t>As a result, most governments still relied on indirect taxes and debt to fund services.</w:t>
      </w:r>
    </w:p>
    <w:p w14:paraId="776F81D0" w14:textId="77777777" w:rsidR="000253A8" w:rsidRPr="008D3C3E" w:rsidRDefault="000253A8" w:rsidP="000253A8">
      <w:pPr>
        <w:rPr>
          <w:lang w:val="en-GB"/>
        </w:rPr>
      </w:pPr>
    </w:p>
    <w:p w14:paraId="68A557EA" w14:textId="0CC54E06" w:rsidR="008C16C3" w:rsidRPr="008D3C3E" w:rsidRDefault="00330EC2" w:rsidP="000253A8">
      <w:pPr>
        <w:pStyle w:val="Heading2"/>
        <w:rPr>
          <w:bCs/>
          <w:lang w:val="en-GB"/>
        </w:rPr>
      </w:pPr>
      <w:r w:rsidRPr="008D3C3E">
        <w:rPr>
          <w:bCs/>
          <w:lang w:val="en-GB"/>
        </w:rPr>
        <w:lastRenderedPageBreak/>
        <w:t>Economic structures and inequality</w:t>
      </w:r>
    </w:p>
    <w:p w14:paraId="5D6DF4FF" w14:textId="60272B38" w:rsidR="003253A8" w:rsidRPr="008D3C3E" w:rsidRDefault="001E1594" w:rsidP="000253A8">
      <w:pPr>
        <w:rPr>
          <w:lang w:val="en-GB"/>
        </w:rPr>
      </w:pPr>
      <w:r w:rsidRPr="008D3C3E">
        <w:rPr>
          <w:lang w:val="en-GB"/>
        </w:rPr>
        <w:t xml:space="preserve">Many national economies in Sub-Saharan Africa </w:t>
      </w:r>
      <w:r w:rsidR="003253A8" w:rsidRPr="008D3C3E">
        <w:rPr>
          <w:lang w:val="en-GB"/>
        </w:rPr>
        <w:t>largely depend</w:t>
      </w:r>
      <w:r w:rsidRPr="008D3C3E">
        <w:rPr>
          <w:lang w:val="en-GB"/>
        </w:rPr>
        <w:t xml:space="preserve"> on agriculture, natural resources, </w:t>
      </w:r>
      <w:r w:rsidR="003253A8" w:rsidRPr="008D3C3E">
        <w:rPr>
          <w:lang w:val="en-GB"/>
        </w:rPr>
        <w:t>and</w:t>
      </w:r>
      <w:r w:rsidRPr="008D3C3E">
        <w:rPr>
          <w:lang w:val="en-GB"/>
        </w:rPr>
        <w:t xml:space="preserve"> other informal sectors. This </w:t>
      </w:r>
      <w:r w:rsidR="003253A8" w:rsidRPr="008D3C3E">
        <w:rPr>
          <w:lang w:val="en-GB"/>
        </w:rPr>
        <w:t xml:space="preserve">creates </w:t>
      </w:r>
      <w:r w:rsidRPr="008D3C3E">
        <w:rPr>
          <w:lang w:val="en-GB"/>
        </w:rPr>
        <w:t>a</w:t>
      </w:r>
      <w:r w:rsidR="003253A8" w:rsidRPr="008D3C3E">
        <w:rPr>
          <w:lang w:val="en-GB"/>
        </w:rPr>
        <w:t>n</w:t>
      </w:r>
      <w:r w:rsidRPr="008D3C3E">
        <w:rPr>
          <w:lang w:val="en-GB"/>
        </w:rPr>
        <w:t xml:space="preserve"> informal economy, </w:t>
      </w:r>
      <w:r w:rsidR="003253A8" w:rsidRPr="008D3C3E">
        <w:rPr>
          <w:lang w:val="en-GB"/>
        </w:rPr>
        <w:t xml:space="preserve">meaning </w:t>
      </w:r>
      <w:r w:rsidRPr="008D3C3E">
        <w:rPr>
          <w:lang w:val="en-GB"/>
        </w:rPr>
        <w:t xml:space="preserve">that it is hard to track income and tax, since many of these economies are unrecorded. </w:t>
      </w:r>
      <w:r w:rsidR="003253A8" w:rsidRPr="008D3C3E">
        <w:rPr>
          <w:lang w:val="en-GB"/>
        </w:rPr>
        <w:t>In addition, the economic income from resources is often concentrated</w:t>
      </w:r>
      <w:r w:rsidRPr="008D3C3E">
        <w:rPr>
          <w:lang w:val="en-GB"/>
        </w:rPr>
        <w:t xml:space="preserve"> among a few individuals or businesses, </w:t>
      </w:r>
      <w:r w:rsidR="003253A8" w:rsidRPr="008D3C3E">
        <w:rPr>
          <w:lang w:val="en-GB"/>
        </w:rPr>
        <w:t>making Sub-Saharan Africa prone to income inequality</w:t>
      </w:r>
      <w:r w:rsidR="004A7E2E" w:rsidRPr="008D3C3E">
        <w:rPr>
          <w:lang w:val="en-GB"/>
        </w:rPr>
        <w:t xml:space="preserve"> (UNDP, 2017).</w:t>
      </w:r>
    </w:p>
    <w:p w14:paraId="525C02E7" w14:textId="352D03AB" w:rsidR="003253A8" w:rsidRPr="008D3C3E" w:rsidRDefault="001E1594" w:rsidP="000253A8">
      <w:pPr>
        <w:rPr>
          <w:lang w:val="en-GB"/>
        </w:rPr>
      </w:pPr>
      <w:r w:rsidRPr="008D3C3E">
        <w:rPr>
          <w:lang w:val="en-GB"/>
        </w:rPr>
        <w:t>Globalisation further worsens the situation. While foreign investment has helped some nations grow economically, the benefits of globalisation are not evenly distributed across the population, and multinational corporations sometimes have resorted to tax avoidance. This reduces the corporate tax revenue for host countries</w:t>
      </w:r>
      <w:r w:rsidR="004A7E2E" w:rsidRPr="008D3C3E">
        <w:rPr>
          <w:lang w:val="en-GB"/>
        </w:rPr>
        <w:t xml:space="preserve">, </w:t>
      </w:r>
      <w:r w:rsidRPr="008D3C3E">
        <w:rPr>
          <w:lang w:val="en-GB"/>
        </w:rPr>
        <w:t>and less tax income then results in fewer funds for public services</w:t>
      </w:r>
      <w:r w:rsidR="004A7E2E" w:rsidRPr="008D3C3E">
        <w:rPr>
          <w:lang w:val="en-GB"/>
        </w:rPr>
        <w:t xml:space="preserve"> (ICTD, 2025)</w:t>
      </w:r>
      <w:r w:rsidRPr="008D3C3E">
        <w:rPr>
          <w:lang w:val="en-GB"/>
        </w:rPr>
        <w:t>.</w:t>
      </w:r>
    </w:p>
    <w:p w14:paraId="6590CF4E" w14:textId="3E394565" w:rsidR="00330EC2" w:rsidRPr="008D3C3E" w:rsidRDefault="00330EC2" w:rsidP="000253A8">
      <w:pPr>
        <w:ind w:firstLine="0"/>
        <w:rPr>
          <w:bCs/>
          <w:lang w:val="en-GB"/>
        </w:rPr>
      </w:pPr>
      <w:r w:rsidRPr="008D3C3E">
        <w:rPr>
          <w:b/>
          <w:bCs/>
          <w:lang w:val="en-GB"/>
        </w:rPr>
        <w:t xml:space="preserve">Social impacts of </w:t>
      </w:r>
      <w:r w:rsidR="000A6909">
        <w:rPr>
          <w:b/>
          <w:bCs/>
          <w:lang w:val="en-GB"/>
        </w:rPr>
        <w:t xml:space="preserve">inequitable </w:t>
      </w:r>
      <w:r w:rsidRPr="008D3C3E">
        <w:rPr>
          <w:b/>
          <w:bCs/>
          <w:lang w:val="en-GB"/>
        </w:rPr>
        <w:t>taxation</w:t>
      </w:r>
    </w:p>
    <w:p w14:paraId="7FA89360" w14:textId="320F82CE" w:rsidR="00900B76" w:rsidRDefault="006C4FB0" w:rsidP="000253A8">
      <w:pPr>
        <w:rPr>
          <w:lang w:val="en-GB"/>
        </w:rPr>
      </w:pPr>
      <w:r w:rsidRPr="008D3C3E">
        <w:rPr>
          <w:lang w:val="en-GB"/>
        </w:rPr>
        <w:t xml:space="preserve">One major social impact of </w:t>
      </w:r>
      <w:r w:rsidR="002E6B47" w:rsidRPr="008D3C3E">
        <w:rPr>
          <w:lang w:val="en-GB"/>
        </w:rPr>
        <w:t>unequal</w:t>
      </w:r>
      <w:r w:rsidRPr="008D3C3E">
        <w:rPr>
          <w:lang w:val="en-GB"/>
        </w:rPr>
        <w:t xml:space="preserve"> is that it reduces trust in government institutions. Low-income groups face heavier tax burdens, while wealthier individuals often avoid</w:t>
      </w:r>
      <w:r w:rsidR="002E6B47" w:rsidRPr="008D3C3E">
        <w:rPr>
          <w:lang w:val="en-GB"/>
        </w:rPr>
        <w:t xml:space="preserve"> </w:t>
      </w:r>
      <w:r w:rsidRPr="008D3C3E">
        <w:rPr>
          <w:lang w:val="en-GB"/>
        </w:rPr>
        <w:t>taxation. This increases public dissatisfaction and lower trust levels in the government, leading to less tax compliance and weakened governance.</w:t>
      </w:r>
    </w:p>
    <w:p w14:paraId="6CA65CE4" w14:textId="45467B28" w:rsidR="00095291" w:rsidRDefault="000A6909" w:rsidP="000253A8">
      <w:pPr>
        <w:rPr>
          <w:lang w:val="en-GB"/>
        </w:rPr>
      </w:pPr>
      <w:r>
        <w:rPr>
          <w:lang w:val="en-GB"/>
        </w:rPr>
        <w:t>Inequitable also leads to increased poverty levels and vulnerability to economic shocks. Regressive taxes on essentials increase everyday expenses, especially impacting low-income households with limited savings. It also indirectly affects health and education, as some families may decide to cut spending on nutritious food or medical care due to taxes on basic goods</w:t>
      </w:r>
      <w:r w:rsidR="00095291">
        <w:rPr>
          <w:lang w:val="en-GB"/>
        </w:rPr>
        <w:t>. The financial strains from inequitable taxes also limit the children’s education, which leads to intergenerational poverty.</w:t>
      </w:r>
    </w:p>
    <w:p w14:paraId="607DD7A8" w14:textId="77777777" w:rsidR="000253A8" w:rsidRPr="008D3C3E" w:rsidRDefault="000253A8" w:rsidP="000253A8">
      <w:pPr>
        <w:rPr>
          <w:lang w:val="en-GB"/>
        </w:rPr>
      </w:pPr>
    </w:p>
    <w:p w14:paraId="7292A326" w14:textId="77777777" w:rsidR="00330EC2" w:rsidRPr="008D3C3E" w:rsidRDefault="00330EC2" w:rsidP="000253A8">
      <w:pPr>
        <w:pStyle w:val="Heading1"/>
        <w:rPr>
          <w:b w:val="0"/>
          <w:lang w:val="en-GB"/>
        </w:rPr>
      </w:pPr>
      <w:r w:rsidRPr="008D3C3E">
        <w:rPr>
          <w:lang w:val="en-GB"/>
        </w:rPr>
        <w:t xml:space="preserve">Major Stakeholders  </w:t>
      </w:r>
    </w:p>
    <w:p w14:paraId="7E89E2C9" w14:textId="77777777" w:rsidR="00330EC2" w:rsidRPr="008D3C3E" w:rsidRDefault="00330EC2" w:rsidP="000253A8">
      <w:pPr>
        <w:pStyle w:val="Heading2"/>
        <w:rPr>
          <w:b w:val="0"/>
          <w:bCs/>
          <w:lang w:val="en-GB"/>
        </w:rPr>
      </w:pPr>
      <w:r w:rsidRPr="008D3C3E">
        <w:rPr>
          <w:rStyle w:val="Strong"/>
          <w:b/>
          <w:bCs w:val="0"/>
          <w:lang w:val="en-GB"/>
        </w:rPr>
        <w:t>Governments of Sub-Saharan African states</w:t>
      </w:r>
    </w:p>
    <w:p w14:paraId="0ACE2E23" w14:textId="4252F529" w:rsidR="00330EC2" w:rsidRPr="00900B76" w:rsidRDefault="00330EC2" w:rsidP="000253A8">
      <w:pPr>
        <w:rPr>
          <w:lang w:eastAsia="zh-CN"/>
        </w:rPr>
      </w:pPr>
      <w:r w:rsidRPr="008D3C3E">
        <w:rPr>
          <w:lang w:val="en-GB"/>
        </w:rPr>
        <w:t>National governments of each state are responsible for designing and implementing taxation policies. This includes improving the administration, compliance, and utilisation of the revenue gained in the provision of social services.</w:t>
      </w:r>
      <w:r w:rsidR="00F34063" w:rsidRPr="008D3C3E">
        <w:rPr>
          <w:lang w:val="en-GB"/>
        </w:rPr>
        <w:t xml:space="preserve"> </w:t>
      </w:r>
      <w:r w:rsidRPr="008D3C3E">
        <w:rPr>
          <w:lang w:val="en-GB"/>
        </w:rPr>
        <w:t>However, governments often face challenges such as limited administrative capacity and political resistance to tax reform.</w:t>
      </w:r>
      <w:r w:rsidR="00900B76">
        <w:rPr>
          <w:lang w:val="en-GB"/>
        </w:rPr>
        <w:t xml:space="preserve"> </w:t>
      </w:r>
      <w:r w:rsidR="00900B76" w:rsidRPr="00900B76">
        <w:rPr>
          <w:lang w:val="en-GB"/>
        </w:rPr>
        <w:t xml:space="preserve">South Africa has the highest level of income inequality with a Gini coefficient of around 0.63, </w:t>
      </w:r>
      <w:r w:rsidR="00900B76">
        <w:rPr>
          <w:lang w:val="en-GB"/>
        </w:rPr>
        <w:t xml:space="preserve">and </w:t>
      </w:r>
      <w:r w:rsidR="00900B76" w:rsidRPr="00900B76">
        <w:rPr>
          <w:lang w:val="en-GB"/>
        </w:rPr>
        <w:t xml:space="preserve">Namibia ranks close behind with a Gini coefficient of </w:t>
      </w:r>
      <w:r w:rsidR="00735D1F">
        <w:rPr>
          <w:lang w:val="en-GB"/>
        </w:rPr>
        <w:t>0.59.</w:t>
      </w:r>
    </w:p>
    <w:p w14:paraId="22CCA499" w14:textId="77777777" w:rsidR="00330EC2" w:rsidRPr="008D3C3E" w:rsidRDefault="00330EC2" w:rsidP="000253A8">
      <w:pPr>
        <w:pStyle w:val="Heading2"/>
        <w:rPr>
          <w:lang w:val="en-GB"/>
        </w:rPr>
      </w:pPr>
      <w:r w:rsidRPr="008D3C3E">
        <w:rPr>
          <w:bCs/>
          <w:lang w:val="en-GB"/>
        </w:rPr>
        <w:lastRenderedPageBreak/>
        <w:t>African Union (AU)</w:t>
      </w:r>
    </w:p>
    <w:p w14:paraId="1FD337AF" w14:textId="270028AA" w:rsidR="00330EC2" w:rsidRPr="008D3C3E" w:rsidRDefault="002E6B47" w:rsidP="000253A8">
      <w:pPr>
        <w:rPr>
          <w:lang w:val="en-GB"/>
        </w:rPr>
      </w:pPr>
      <w:r w:rsidRPr="008D3C3E">
        <w:rPr>
          <w:lang w:val="en-GB"/>
        </w:rPr>
        <w:t>The African Union supports regional cooperation and economic integration in Africa. It promotes initiatives in matters of addressing inequality, countering illicit flows, and mobilizing domestic resources in fair taxation.</w:t>
      </w:r>
    </w:p>
    <w:p w14:paraId="050BED99" w14:textId="77777777" w:rsidR="00330EC2" w:rsidRPr="008D3C3E" w:rsidRDefault="00330EC2" w:rsidP="000253A8">
      <w:pPr>
        <w:pStyle w:val="Heading2"/>
        <w:rPr>
          <w:lang w:val="en-GB"/>
        </w:rPr>
      </w:pPr>
      <w:r w:rsidRPr="008D3C3E">
        <w:rPr>
          <w:bCs/>
          <w:lang w:val="en-GB"/>
        </w:rPr>
        <w:t>International Monetary Fund (IMF)</w:t>
      </w:r>
    </w:p>
    <w:p w14:paraId="35A6C2D3" w14:textId="71E5C14A" w:rsidR="00330EC2" w:rsidRPr="008D3C3E" w:rsidRDefault="00330EC2" w:rsidP="000253A8">
      <w:pPr>
        <w:rPr>
          <w:lang w:val="en-GB"/>
        </w:rPr>
      </w:pPr>
      <w:r w:rsidRPr="008D3C3E">
        <w:rPr>
          <w:lang w:val="en-GB"/>
        </w:rPr>
        <w:t>The IMF provides financial a</w:t>
      </w:r>
      <w:r w:rsidR="002E6B47" w:rsidRPr="008D3C3E">
        <w:rPr>
          <w:lang w:val="en-GB"/>
        </w:rPr>
        <w:t>id and economic advice</w:t>
      </w:r>
      <w:r w:rsidRPr="008D3C3E">
        <w:rPr>
          <w:lang w:val="en-GB"/>
        </w:rPr>
        <w:t xml:space="preserve"> to countries in Sub-Saharan Africa. It often encourages </w:t>
      </w:r>
      <w:r w:rsidR="002E6B47" w:rsidRPr="008D3C3E">
        <w:rPr>
          <w:lang w:val="en-GB"/>
        </w:rPr>
        <w:t xml:space="preserve">implementing tax reforms to improve revenue generation. </w:t>
      </w:r>
      <w:r w:rsidRPr="008D3C3E">
        <w:rPr>
          <w:lang w:val="en-GB"/>
        </w:rPr>
        <w:t xml:space="preserve">However, its recommendations have </w:t>
      </w:r>
      <w:r w:rsidR="003A645A" w:rsidRPr="008D3C3E">
        <w:rPr>
          <w:lang w:val="en-GB"/>
        </w:rPr>
        <w:t>faced criticism for inequality.</w:t>
      </w:r>
    </w:p>
    <w:p w14:paraId="598CF3FD" w14:textId="77777777" w:rsidR="00330EC2" w:rsidRPr="008D3C3E" w:rsidRDefault="00330EC2" w:rsidP="000253A8">
      <w:pPr>
        <w:pStyle w:val="Heading2"/>
        <w:rPr>
          <w:lang w:val="en-GB"/>
        </w:rPr>
      </w:pPr>
      <w:r w:rsidRPr="008D3C3E">
        <w:rPr>
          <w:bCs/>
          <w:lang w:val="en-GB"/>
        </w:rPr>
        <w:t>World Bank</w:t>
      </w:r>
    </w:p>
    <w:p w14:paraId="3229A805" w14:textId="1819DD40" w:rsidR="00614BF4" w:rsidRDefault="00330EC2" w:rsidP="000253A8">
      <w:pPr>
        <w:rPr>
          <w:lang w:val="en-GB"/>
        </w:rPr>
      </w:pPr>
      <w:r w:rsidRPr="008D3C3E">
        <w:rPr>
          <w:lang w:val="en-GB"/>
        </w:rPr>
        <w:t>The World Bank supports development projects and policy reforms focused on poverty reduction and inclusive growth. It provides technical assistance to improve tax systems and strengthen public financial management.</w:t>
      </w:r>
    </w:p>
    <w:p w14:paraId="30F81359" w14:textId="77777777" w:rsidR="000253A8" w:rsidRDefault="000253A8" w:rsidP="000253A8">
      <w:pPr>
        <w:rPr>
          <w:lang w:val="en-GB"/>
        </w:rPr>
      </w:pPr>
    </w:p>
    <w:p w14:paraId="6890FC65" w14:textId="105E8E40" w:rsidR="006D4815" w:rsidRPr="006D4815" w:rsidRDefault="00614BF4" w:rsidP="000253A8">
      <w:pPr>
        <w:pStyle w:val="Heading1"/>
        <w:rPr>
          <w:lang w:val="en-GB"/>
        </w:rPr>
      </w:pPr>
      <w:r w:rsidRPr="00CD1E2D">
        <w:rPr>
          <w:lang w:val="en-GB"/>
        </w:rPr>
        <w:t>Timeline</w:t>
      </w:r>
      <w:bookmarkStart w:id="0" w:name="_Hlk169694737"/>
    </w:p>
    <w:tbl>
      <w:tblPr>
        <w:tblW w:w="0" w:type="auto"/>
        <w:tblInd w:w="-108" w:type="dxa"/>
        <w:tblLook w:val="00A0" w:firstRow="1" w:lastRow="0" w:firstColumn="1" w:lastColumn="0" w:noHBand="0" w:noVBand="0"/>
      </w:tblPr>
      <w:tblGrid>
        <w:gridCol w:w="2790"/>
        <w:gridCol w:w="6236"/>
      </w:tblGrid>
      <w:tr w:rsidR="00614BF4" w:rsidRPr="00CD1E2D" w14:paraId="24A05EE4" w14:textId="77777777" w:rsidTr="00481335">
        <w:tc>
          <w:tcPr>
            <w:tcW w:w="2790" w:type="dxa"/>
            <w:vAlign w:val="center"/>
          </w:tcPr>
          <w:bookmarkEnd w:id="0"/>
          <w:p w14:paraId="2D12B6C0" w14:textId="77777777" w:rsidR="00614BF4" w:rsidRPr="00CD1E2D" w:rsidRDefault="00614BF4" w:rsidP="000253A8">
            <w:pPr>
              <w:ind w:firstLine="0"/>
              <w:rPr>
                <w:b/>
                <w:lang w:val="en-GB" w:bidi="en-US"/>
              </w:rPr>
            </w:pPr>
            <w:r w:rsidRPr="00CD1E2D">
              <w:rPr>
                <w:b/>
                <w:lang w:val="en-GB" w:bidi="en-US"/>
              </w:rPr>
              <w:t>Date</w:t>
            </w:r>
          </w:p>
        </w:tc>
        <w:tc>
          <w:tcPr>
            <w:tcW w:w="6236" w:type="dxa"/>
            <w:vAlign w:val="center"/>
          </w:tcPr>
          <w:p w14:paraId="41F9BBA4" w14:textId="77777777" w:rsidR="00614BF4" w:rsidRPr="00CD1E2D" w:rsidRDefault="00614BF4" w:rsidP="000253A8">
            <w:pPr>
              <w:ind w:firstLine="0"/>
              <w:rPr>
                <w:b/>
                <w:lang w:val="en-GB" w:bidi="en-US"/>
              </w:rPr>
            </w:pPr>
            <w:r w:rsidRPr="00CD1E2D">
              <w:rPr>
                <w:b/>
                <w:lang w:val="en-GB" w:bidi="en-US"/>
              </w:rPr>
              <w:t>Description of Event</w:t>
            </w:r>
          </w:p>
        </w:tc>
      </w:tr>
      <w:tr w:rsidR="00614BF4" w:rsidRPr="00CD1E2D" w14:paraId="7289F861" w14:textId="77777777" w:rsidTr="00481335">
        <w:tc>
          <w:tcPr>
            <w:tcW w:w="2790" w:type="dxa"/>
          </w:tcPr>
          <w:p w14:paraId="37652247" w14:textId="3458D927" w:rsidR="00614BF4" w:rsidRPr="00CD1E2D" w:rsidRDefault="00614BF4" w:rsidP="000253A8">
            <w:pPr>
              <w:ind w:firstLine="0"/>
              <w:rPr>
                <w:lang w:val="en-GB" w:bidi="en-US"/>
              </w:rPr>
            </w:pPr>
            <w:r>
              <w:rPr>
                <w:lang w:val="en-GB" w:bidi="en-US"/>
              </w:rPr>
              <w:t>January 1</w:t>
            </w:r>
            <w:r w:rsidRPr="00614BF4">
              <w:rPr>
                <w:vertAlign w:val="superscript"/>
                <w:lang w:val="en-GB" w:bidi="en-US"/>
              </w:rPr>
              <w:t>st</w:t>
            </w:r>
            <w:r>
              <w:rPr>
                <w:lang w:val="en-GB" w:bidi="en-US"/>
              </w:rPr>
              <w:t>, 1963</w:t>
            </w:r>
          </w:p>
        </w:tc>
        <w:tc>
          <w:tcPr>
            <w:tcW w:w="6236" w:type="dxa"/>
          </w:tcPr>
          <w:p w14:paraId="3DE0C247" w14:textId="7D224D05" w:rsidR="00614BF4" w:rsidRPr="00CD1E2D" w:rsidRDefault="00614BF4" w:rsidP="000253A8">
            <w:pPr>
              <w:ind w:firstLine="0"/>
              <w:rPr>
                <w:lang w:val="en-GB" w:bidi="en-US"/>
              </w:rPr>
            </w:pPr>
            <w:r w:rsidRPr="00614BF4">
              <w:rPr>
                <w:lang w:bidi="en-US"/>
              </w:rPr>
              <w:t xml:space="preserve">The Organization of African Unity (OAU) is established in Addis Ababa, Ethiopia, </w:t>
            </w:r>
            <w:r w:rsidR="0070410C">
              <w:rPr>
                <w:lang w:bidi="en-US"/>
              </w:rPr>
              <w:t xml:space="preserve">with the goal </w:t>
            </w:r>
            <w:r w:rsidRPr="00614BF4">
              <w:rPr>
                <w:lang w:bidi="en-US"/>
              </w:rPr>
              <w:t xml:space="preserve">to promote unity and development among African states. This </w:t>
            </w:r>
            <w:r>
              <w:rPr>
                <w:lang w:bidi="en-US"/>
              </w:rPr>
              <w:t xml:space="preserve">will </w:t>
            </w:r>
            <w:r w:rsidRPr="00614BF4">
              <w:rPr>
                <w:lang w:bidi="en-US"/>
              </w:rPr>
              <w:t>later evolve</w:t>
            </w:r>
            <w:r>
              <w:rPr>
                <w:lang w:bidi="en-US"/>
              </w:rPr>
              <w:t xml:space="preserve"> </w:t>
            </w:r>
            <w:r w:rsidRPr="00614BF4">
              <w:rPr>
                <w:lang w:bidi="en-US"/>
              </w:rPr>
              <w:t>into the African Union (AU</w:t>
            </w:r>
            <w:r>
              <w:rPr>
                <w:lang w:bidi="en-US"/>
              </w:rPr>
              <w:t>)</w:t>
            </w:r>
          </w:p>
        </w:tc>
      </w:tr>
      <w:tr w:rsidR="00614BF4" w:rsidRPr="00CD1E2D" w14:paraId="2FD6C3CB" w14:textId="77777777" w:rsidTr="00481335">
        <w:tc>
          <w:tcPr>
            <w:tcW w:w="2790" w:type="dxa"/>
          </w:tcPr>
          <w:p w14:paraId="320A923B" w14:textId="6E4587A3" w:rsidR="00614BF4" w:rsidRPr="00CD1E2D" w:rsidRDefault="00614BF4" w:rsidP="000253A8">
            <w:pPr>
              <w:ind w:firstLine="0"/>
              <w:rPr>
                <w:lang w:val="en-GB" w:bidi="en-US"/>
              </w:rPr>
            </w:pPr>
            <w:r>
              <w:rPr>
                <w:lang w:val="en-GB" w:bidi="en-US"/>
              </w:rPr>
              <w:t>May 25</w:t>
            </w:r>
            <w:r w:rsidRPr="00614BF4">
              <w:rPr>
                <w:vertAlign w:val="superscript"/>
                <w:lang w:val="en-GB" w:bidi="en-US"/>
              </w:rPr>
              <w:t>th</w:t>
            </w:r>
            <w:r w:rsidRPr="00CD1E2D">
              <w:rPr>
                <w:lang w:val="en-GB" w:bidi="en-US"/>
              </w:rPr>
              <w:t xml:space="preserve">, </w:t>
            </w:r>
            <w:r>
              <w:rPr>
                <w:lang w:val="en-GB" w:bidi="en-US"/>
              </w:rPr>
              <w:t>2001</w:t>
            </w:r>
          </w:p>
        </w:tc>
        <w:tc>
          <w:tcPr>
            <w:tcW w:w="6236" w:type="dxa"/>
          </w:tcPr>
          <w:p w14:paraId="5A98B7F9" w14:textId="2CFB0939" w:rsidR="00614BF4" w:rsidRPr="00CD1E2D" w:rsidRDefault="00614BF4" w:rsidP="000253A8">
            <w:pPr>
              <w:ind w:firstLine="0"/>
              <w:rPr>
                <w:lang w:val="en-GB" w:bidi="en-US"/>
              </w:rPr>
            </w:pPr>
            <w:r w:rsidRPr="00614BF4">
              <w:rPr>
                <w:lang w:bidi="en-US"/>
              </w:rPr>
              <w:t>The African Union (AU) is founded, succeeding the OAU</w:t>
            </w:r>
          </w:p>
        </w:tc>
      </w:tr>
      <w:tr w:rsidR="00614BF4" w:rsidRPr="00CD1E2D" w14:paraId="0279589D" w14:textId="77777777" w:rsidTr="00481335">
        <w:tc>
          <w:tcPr>
            <w:tcW w:w="2790" w:type="dxa"/>
          </w:tcPr>
          <w:p w14:paraId="5D2211A5" w14:textId="0012D56F" w:rsidR="00614BF4" w:rsidRPr="00CD1E2D" w:rsidRDefault="00614BF4" w:rsidP="000253A8">
            <w:pPr>
              <w:ind w:firstLine="0"/>
              <w:rPr>
                <w:lang w:val="en-GB" w:bidi="en-US"/>
              </w:rPr>
            </w:pPr>
            <w:r>
              <w:rPr>
                <w:lang w:val="en-GB" w:bidi="en-US"/>
              </w:rPr>
              <w:t>November 19</w:t>
            </w:r>
            <w:r w:rsidRPr="00614BF4">
              <w:rPr>
                <w:vertAlign w:val="superscript"/>
                <w:lang w:val="en-GB" w:bidi="en-US"/>
              </w:rPr>
              <w:t>th</w:t>
            </w:r>
            <w:r>
              <w:rPr>
                <w:vertAlign w:val="superscript"/>
                <w:lang w:val="en-GB" w:bidi="en-US"/>
              </w:rPr>
              <w:t xml:space="preserve">, </w:t>
            </w:r>
            <w:r>
              <w:rPr>
                <w:lang w:val="en-GB" w:bidi="en-US"/>
              </w:rPr>
              <w:t>2009</w:t>
            </w:r>
          </w:p>
        </w:tc>
        <w:tc>
          <w:tcPr>
            <w:tcW w:w="6236" w:type="dxa"/>
          </w:tcPr>
          <w:p w14:paraId="7F0BCB0B" w14:textId="2E89E959" w:rsidR="00614BF4" w:rsidRPr="00CD1E2D" w:rsidRDefault="00614BF4" w:rsidP="000253A8">
            <w:pPr>
              <w:ind w:firstLine="0"/>
              <w:rPr>
                <w:lang w:val="en-GB" w:bidi="en-US"/>
              </w:rPr>
            </w:pPr>
            <w:r w:rsidRPr="00614BF4">
              <w:rPr>
                <w:lang w:val="en-GB" w:bidi="en-US"/>
              </w:rPr>
              <w:t>The African Tax Administration Forum (ATAF) is founded in Kampala, Uganda, with the goal of improving tax administration and domestic resource mobilization across Africa.</w:t>
            </w:r>
          </w:p>
        </w:tc>
      </w:tr>
      <w:tr w:rsidR="006D4815" w:rsidRPr="00CD1E2D" w14:paraId="776C0378" w14:textId="77777777" w:rsidTr="00481335">
        <w:tc>
          <w:tcPr>
            <w:tcW w:w="2790" w:type="dxa"/>
          </w:tcPr>
          <w:p w14:paraId="382F73BA" w14:textId="0DA123A9" w:rsidR="006D4815" w:rsidRDefault="006D4815" w:rsidP="000253A8">
            <w:pPr>
              <w:ind w:firstLine="0"/>
              <w:rPr>
                <w:lang w:val="en-GB" w:bidi="en-US"/>
              </w:rPr>
            </w:pPr>
            <w:r>
              <w:rPr>
                <w:lang w:val="en-GB" w:bidi="en-US"/>
              </w:rPr>
              <w:t>July 10th, 2025</w:t>
            </w:r>
          </w:p>
        </w:tc>
        <w:tc>
          <w:tcPr>
            <w:tcW w:w="6236" w:type="dxa"/>
          </w:tcPr>
          <w:p w14:paraId="0F778668" w14:textId="33498D82" w:rsidR="006D4815" w:rsidRPr="00614BF4" w:rsidRDefault="006D4815" w:rsidP="000253A8">
            <w:pPr>
              <w:ind w:firstLine="0"/>
              <w:rPr>
                <w:lang w:val="en-GB" w:bidi="en-US"/>
              </w:rPr>
            </w:pPr>
            <w:r w:rsidRPr="006D4815">
              <w:rPr>
                <w:lang w:val="en-GB" w:bidi="en-US"/>
              </w:rPr>
              <w:t>ATAF launches the Revenue Action for Development in Africa (RADA) initiative during the FfD4 Conference in Seville, Spain, aiming to enhance fair taxation and counter illicit financial flows.</w:t>
            </w:r>
          </w:p>
        </w:tc>
      </w:tr>
    </w:tbl>
    <w:p w14:paraId="1AEF76E5" w14:textId="77777777" w:rsidR="000253A8" w:rsidRDefault="000253A8" w:rsidP="000253A8">
      <w:pPr>
        <w:pStyle w:val="Heading1"/>
        <w:rPr>
          <w:lang w:val="en-GB"/>
        </w:rPr>
      </w:pPr>
    </w:p>
    <w:p w14:paraId="5AB9DDB9" w14:textId="380B0C9B" w:rsidR="00330EC2" w:rsidRPr="008D3C3E" w:rsidRDefault="00330EC2" w:rsidP="000253A8">
      <w:pPr>
        <w:pStyle w:val="Heading1"/>
        <w:rPr>
          <w:lang w:val="en-GB"/>
        </w:rPr>
      </w:pPr>
      <w:r w:rsidRPr="008D3C3E">
        <w:rPr>
          <w:lang w:val="en-GB"/>
        </w:rPr>
        <w:lastRenderedPageBreak/>
        <w:t xml:space="preserve">Previous Attempts to Solve the Issue  </w:t>
      </w:r>
    </w:p>
    <w:p w14:paraId="4082267B" w14:textId="09D279E0" w:rsidR="000A6909" w:rsidRPr="008D3C3E" w:rsidRDefault="00C329AB" w:rsidP="000253A8">
      <w:pPr>
        <w:rPr>
          <w:lang w:val="en-GB"/>
        </w:rPr>
      </w:pPr>
      <w:r>
        <w:rPr>
          <w:lang w:val="en-GB"/>
        </w:rPr>
        <w:t>T</w:t>
      </w:r>
      <w:r w:rsidR="00454427" w:rsidRPr="008D3C3E">
        <w:rPr>
          <w:lang w:val="en-GB"/>
        </w:rPr>
        <w:t xml:space="preserve">he African Tax Administration Forum (ATAF) was founded on November 19, </w:t>
      </w:r>
      <w:r w:rsidR="008D3C3E" w:rsidRPr="008D3C3E">
        <w:rPr>
          <w:lang w:val="en-GB"/>
        </w:rPr>
        <w:t>2009,</w:t>
      </w:r>
      <w:r w:rsidR="00454427" w:rsidRPr="008D3C3E">
        <w:rPr>
          <w:lang w:val="en-GB"/>
        </w:rPr>
        <w:t xml:space="preserve"> in Kampala, Uganda. It consists of 44 African </w:t>
      </w:r>
      <w:r w:rsidR="004B6EB5" w:rsidRPr="008D3C3E">
        <w:rPr>
          <w:lang w:val="en-GB"/>
        </w:rPr>
        <w:t>states,</w:t>
      </w:r>
      <w:r w:rsidR="00454427" w:rsidRPr="008D3C3E">
        <w:rPr>
          <w:lang w:val="en-GB"/>
        </w:rPr>
        <w:t xml:space="preserve"> and its main goal is to improve the capacity of tax administrations </w:t>
      </w:r>
      <w:r w:rsidR="004B6EB5" w:rsidRPr="008D3C3E">
        <w:rPr>
          <w:lang w:val="en-GB"/>
        </w:rPr>
        <w:t xml:space="preserve">and </w:t>
      </w:r>
      <w:r w:rsidR="00454427" w:rsidRPr="008D3C3E">
        <w:rPr>
          <w:lang w:val="en-GB"/>
        </w:rPr>
        <w:t xml:space="preserve">mobilise domestic resources. </w:t>
      </w:r>
      <w:r w:rsidR="000A6909">
        <w:rPr>
          <w:lang w:val="en-GB"/>
        </w:rPr>
        <w:t>It provides technical assistance and training, offering capacity-building programs to help African nations strengthen taxation policies.</w:t>
      </w:r>
    </w:p>
    <w:p w14:paraId="61DC287F" w14:textId="38D9B870" w:rsidR="00330EC2" w:rsidRDefault="006D4815" w:rsidP="000253A8">
      <w:pPr>
        <w:rPr>
          <w:lang w:val="en-GB"/>
        </w:rPr>
      </w:pPr>
      <w:r>
        <w:rPr>
          <w:lang w:val="en-GB"/>
        </w:rPr>
        <w:t>Various countries in the region</w:t>
      </w:r>
      <w:r w:rsidR="00A63FDA" w:rsidRPr="008D3C3E">
        <w:rPr>
          <w:lang w:val="en-GB"/>
        </w:rPr>
        <w:t xml:space="preserve"> introduc</w:t>
      </w:r>
      <w:r>
        <w:rPr>
          <w:lang w:val="en-GB"/>
        </w:rPr>
        <w:t>ed</w:t>
      </w:r>
      <w:r w:rsidR="00A63FDA" w:rsidRPr="008D3C3E">
        <w:rPr>
          <w:lang w:val="en-GB"/>
        </w:rPr>
        <w:t xml:space="preserve"> progressive income-based taxation </w:t>
      </w:r>
      <w:r>
        <w:rPr>
          <w:lang w:val="en-GB"/>
        </w:rPr>
        <w:t xml:space="preserve">policies. </w:t>
      </w:r>
      <w:r w:rsidR="00A63FDA" w:rsidRPr="008D3C3E">
        <w:rPr>
          <w:lang w:val="en-GB"/>
        </w:rPr>
        <w:t xml:space="preserve">For example, South Africa </w:t>
      </w:r>
      <w:r w:rsidR="004B6EB5" w:rsidRPr="008D3C3E">
        <w:rPr>
          <w:lang w:val="en-GB"/>
        </w:rPr>
        <w:t xml:space="preserve">increased </w:t>
      </w:r>
      <w:r w:rsidR="00A63FDA" w:rsidRPr="008D3C3E">
        <w:rPr>
          <w:lang w:val="en-GB"/>
        </w:rPr>
        <w:t xml:space="preserve">rates </w:t>
      </w:r>
      <w:r w:rsidR="004B6EB5" w:rsidRPr="008D3C3E">
        <w:rPr>
          <w:lang w:val="en-GB"/>
        </w:rPr>
        <w:t xml:space="preserve">to </w:t>
      </w:r>
      <w:r w:rsidR="00A63FDA" w:rsidRPr="008D3C3E">
        <w:rPr>
          <w:lang w:val="en-GB"/>
        </w:rPr>
        <w:t>up to 45%, which boosted the tax revenue from high-income groups, but tax evasion limited redistribution</w:t>
      </w:r>
      <w:r w:rsidR="004A7E2E" w:rsidRPr="008D3C3E">
        <w:rPr>
          <w:lang w:val="en-GB"/>
        </w:rPr>
        <w:t xml:space="preserve"> (International Tax Journal, 2026)</w:t>
      </w:r>
      <w:r w:rsidR="00A63FDA" w:rsidRPr="008D3C3E">
        <w:rPr>
          <w:lang w:val="en-GB"/>
        </w:rPr>
        <w:t>. Kenya has also expanded tax brackets from 2017 to 2020 by 15 to 20% while also reducing dependence on VAT. However, over 80% of employment was informal jobs, which reduced the effectiveness.</w:t>
      </w:r>
    </w:p>
    <w:p w14:paraId="1B90AAAE" w14:textId="27C682FA" w:rsidR="000A5BAC" w:rsidRDefault="001A5CEB" w:rsidP="000253A8">
      <w:pPr>
        <w:rPr>
          <w:lang w:val="en-GB"/>
        </w:rPr>
      </w:pPr>
      <w:r>
        <w:rPr>
          <w:lang w:val="en-GB"/>
        </w:rPr>
        <w:t>On July 10</w:t>
      </w:r>
      <w:r w:rsidRPr="001A5CEB">
        <w:rPr>
          <w:vertAlign w:val="superscript"/>
          <w:lang w:val="en-GB"/>
        </w:rPr>
        <w:t>th</w:t>
      </w:r>
      <w:r>
        <w:rPr>
          <w:lang w:val="en-GB"/>
        </w:rPr>
        <w:t xml:space="preserve">, 2025, ATAF launched the </w:t>
      </w:r>
      <w:r w:rsidR="009F2E5D" w:rsidRPr="009F2E5D">
        <w:t>Revenue Action for Development in Africa (RADA) initiative</w:t>
      </w:r>
      <w:r w:rsidR="009F2E5D">
        <w:t xml:space="preserve"> at the 4</w:t>
      </w:r>
      <w:r w:rsidR="009F2E5D" w:rsidRPr="009F2E5D">
        <w:rPr>
          <w:vertAlign w:val="superscript"/>
        </w:rPr>
        <w:t>th</w:t>
      </w:r>
      <w:r w:rsidR="009F2E5D">
        <w:t xml:space="preserve"> International Conference on Financing for Development</w:t>
      </w:r>
      <w:r w:rsidR="009F2E5D">
        <w:rPr>
          <w:rFonts w:ascii="Roboto" w:hAnsi="Roboto"/>
          <w:color w:val="0A0A0A"/>
          <w:shd w:val="clear" w:color="auto" w:fill="FFFFFF"/>
        </w:rPr>
        <w:t> (FFD4)</w:t>
      </w:r>
      <w:r w:rsidR="009F2E5D">
        <w:rPr>
          <w:lang w:val="en-GB"/>
        </w:rPr>
        <w:t xml:space="preserve"> </w:t>
      </w:r>
      <w:r w:rsidR="009F2E5D">
        <w:t>in Seville, Spain. RADA was created to boost fair taxation in African nations and combat illicit financial flows across the continent.</w:t>
      </w:r>
      <w:r w:rsidR="000A5BAC">
        <w:t xml:space="preserve"> It had four main pillars, digital infrastructure, agile support, capacity building, and inclusive governance. </w:t>
      </w:r>
      <w:r w:rsidR="000A5BAC">
        <w:rPr>
          <w:lang w:val="en-GB"/>
        </w:rPr>
        <w:t>It p</w:t>
      </w:r>
      <w:r w:rsidR="000A5BAC" w:rsidRPr="000A5BAC">
        <w:rPr>
          <w:lang w:val="en-GB"/>
        </w:rPr>
        <w:t xml:space="preserve">romotes vertical equity </w:t>
      </w:r>
      <w:r w:rsidR="000A5BAC">
        <w:rPr>
          <w:lang w:val="en-GB" w:eastAsia="zh-CN"/>
        </w:rPr>
        <w:t xml:space="preserve">and </w:t>
      </w:r>
      <w:r w:rsidR="000A5BAC" w:rsidRPr="000A5BAC">
        <w:rPr>
          <w:lang w:val="en-GB"/>
        </w:rPr>
        <w:t xml:space="preserve">reduces VAT burden </w:t>
      </w:r>
      <w:r w:rsidR="000A5BAC">
        <w:rPr>
          <w:lang w:val="en-GB"/>
        </w:rPr>
        <w:t>for low-income households and individuals.</w:t>
      </w:r>
      <w:r w:rsidR="000A5BAC" w:rsidRPr="000A5BAC">
        <w:rPr>
          <w:lang w:val="en-GB"/>
        </w:rPr>
        <w:t xml:space="preserve"> By late 2025, </w:t>
      </w:r>
      <w:r w:rsidR="000A5BAC">
        <w:rPr>
          <w:lang w:val="en-GB"/>
        </w:rPr>
        <w:t xml:space="preserve">it has already assessed </w:t>
      </w:r>
      <w:r w:rsidR="000A5BAC" w:rsidRPr="000A5BAC">
        <w:rPr>
          <w:lang w:val="en-GB"/>
        </w:rPr>
        <w:t xml:space="preserve">$230M and </w:t>
      </w:r>
      <w:r w:rsidR="000A5BAC">
        <w:rPr>
          <w:lang w:val="en-GB"/>
        </w:rPr>
        <w:t xml:space="preserve">collected </w:t>
      </w:r>
      <w:r w:rsidR="000A5BAC" w:rsidRPr="000A5BAC">
        <w:rPr>
          <w:lang w:val="en-GB"/>
        </w:rPr>
        <w:t>$217M</w:t>
      </w:r>
      <w:r w:rsidR="000A5BAC">
        <w:rPr>
          <w:lang w:val="en-GB"/>
        </w:rPr>
        <w:t>.</w:t>
      </w:r>
    </w:p>
    <w:p w14:paraId="70BAE2DE" w14:textId="77777777" w:rsidR="000253A8" w:rsidRPr="008D3C3E" w:rsidRDefault="000253A8" w:rsidP="000253A8">
      <w:pPr>
        <w:rPr>
          <w:lang w:val="en-GB"/>
        </w:rPr>
      </w:pPr>
    </w:p>
    <w:p w14:paraId="560A68A0" w14:textId="0B508C1F" w:rsidR="00330EC2" w:rsidRPr="008D3C3E" w:rsidRDefault="00330EC2" w:rsidP="000253A8">
      <w:pPr>
        <w:pStyle w:val="Heading1"/>
        <w:rPr>
          <w:bCs/>
          <w:lang w:val="en-GB"/>
        </w:rPr>
      </w:pPr>
      <w:r w:rsidRPr="008D3C3E">
        <w:rPr>
          <w:lang w:val="en-GB"/>
        </w:rPr>
        <w:t>Possible Solutions</w:t>
      </w:r>
    </w:p>
    <w:p w14:paraId="4CDE99FF" w14:textId="556A20AF" w:rsidR="003A5DB9" w:rsidRPr="008D3C3E" w:rsidRDefault="00C92F26" w:rsidP="000253A8">
      <w:pPr>
        <w:rPr>
          <w:lang w:val="en-GB"/>
        </w:rPr>
      </w:pPr>
      <w:r>
        <w:rPr>
          <w:lang w:val="en-GB"/>
        </w:rPr>
        <w:t>Digital</w:t>
      </w:r>
      <w:r w:rsidR="004B6EB5" w:rsidRPr="008D3C3E">
        <w:rPr>
          <w:lang w:val="en-GB"/>
        </w:rPr>
        <w:t xml:space="preserve"> taxation systems </w:t>
      </w:r>
      <w:r>
        <w:rPr>
          <w:lang w:val="en-GB"/>
        </w:rPr>
        <w:t>can</w:t>
      </w:r>
      <w:r w:rsidR="004B6EB5" w:rsidRPr="008D3C3E">
        <w:rPr>
          <w:lang w:val="en-GB"/>
        </w:rPr>
        <w:t xml:space="preserve"> automate validation, assessments, and audits in real time, reducing administrative work through online payments and digital record keeping. This </w:t>
      </w:r>
      <w:r w:rsidR="008D3C3E" w:rsidRPr="008D3C3E">
        <w:rPr>
          <w:lang w:val="en-GB"/>
        </w:rPr>
        <w:t>not only makes the</w:t>
      </w:r>
      <w:r w:rsidR="004B6EB5" w:rsidRPr="008D3C3E">
        <w:rPr>
          <w:lang w:val="en-GB"/>
        </w:rPr>
        <w:t xml:space="preserve"> process more </w:t>
      </w:r>
      <w:r w:rsidR="008D3C3E" w:rsidRPr="008D3C3E">
        <w:rPr>
          <w:lang w:val="en-GB"/>
        </w:rPr>
        <w:t>efficient but</w:t>
      </w:r>
      <w:r w:rsidR="004B6EB5" w:rsidRPr="008D3C3E">
        <w:rPr>
          <w:lang w:val="en-GB"/>
        </w:rPr>
        <w:t xml:space="preserve"> also reduces the potential for human errors. These systems can be developed through international collaboration with Sub-Saharan governments and other countries worldwide. MEDCs can also provide funding, expertise and tech infrastructure for these systems, as well as support capacity building through Organisation for Economic Co-operation and Development (OECD) and UN frameworks. Important first steps are to assess current processes, train teams to manage these taxation systems and to design workflows.</w:t>
      </w:r>
    </w:p>
    <w:p w14:paraId="7CDCF9D4" w14:textId="2C1C2980" w:rsidR="00330EC2" w:rsidRDefault="00031276" w:rsidP="000253A8">
      <w:pPr>
        <w:ind w:firstLine="0"/>
        <w:rPr>
          <w:lang w:val="en-GB"/>
        </w:rPr>
      </w:pPr>
      <w:r w:rsidRPr="008D3C3E">
        <w:rPr>
          <w:lang w:val="en-GB"/>
        </w:rPr>
        <w:tab/>
        <w:t xml:space="preserve">Having properly trained officials can greatly improve enforcement, since they can better spot tax evaders, and training can reduce corruption and administrative errors. This </w:t>
      </w:r>
      <w:r w:rsidRPr="008D3C3E">
        <w:rPr>
          <w:lang w:val="en-GB"/>
        </w:rPr>
        <w:lastRenderedPageBreak/>
        <w:t>also leads to higher revenue collection from high-income groups, which reduces tax gaps and inequality. Additionally, training can reduce corruption and administrative errors. These training programs can be developed by national tax authorities in partnership with international organisations such as the IMF and World Bank, through establishing regional training centres in important Sub-Saharan cities like Nairobi and Johannesburg and collaborating with local universities to create tax administration courses so that training can start early. Other solutions include exchanges between countries with successful tax reforms, as well as incentive programs linking training completion to career advancement or certification.</w:t>
      </w:r>
    </w:p>
    <w:p w14:paraId="7CE2239B" w14:textId="05BE8633" w:rsidR="00C329AB" w:rsidRDefault="00C329AB" w:rsidP="000253A8">
      <w:pPr>
        <w:ind w:firstLine="0"/>
        <w:rPr>
          <w:lang w:val="en-GB"/>
        </w:rPr>
      </w:pPr>
      <w:r>
        <w:rPr>
          <w:lang w:val="en-GB"/>
        </w:rPr>
        <w:tab/>
      </w:r>
      <w:r w:rsidRPr="00C329AB">
        <w:rPr>
          <w:lang w:val="en-GB"/>
        </w:rPr>
        <w:t>Strengthening progressive taxation systems</w:t>
      </w:r>
      <w:r>
        <w:rPr>
          <w:lang w:val="en-GB"/>
        </w:rPr>
        <w:t xml:space="preserve"> is a practical solution to alleviate</w:t>
      </w:r>
      <w:r w:rsidR="004D39C8">
        <w:rPr>
          <w:lang w:val="en-GB"/>
        </w:rPr>
        <w:t xml:space="preserve"> income inequality without </w:t>
      </w:r>
      <w:r w:rsidR="000A6909">
        <w:t>affecting</w:t>
      </w:r>
      <w:r w:rsidR="000A6909" w:rsidRPr="000A6909">
        <w:t xml:space="preserve"> economic growth</w:t>
      </w:r>
      <w:r w:rsidR="004D39C8" w:rsidRPr="000A6909">
        <w:rPr>
          <w:lang w:val="en-GB"/>
        </w:rPr>
        <w:t xml:space="preserve">. </w:t>
      </w:r>
      <w:r w:rsidR="004D39C8">
        <w:rPr>
          <w:lang w:val="en-GB"/>
        </w:rPr>
        <w:t xml:space="preserve">This can be achieved through expanding income taxation in informal sectors by applying simple </w:t>
      </w:r>
      <w:r w:rsidR="004D39C8" w:rsidRPr="004D39C8">
        <w:rPr>
          <w:lang w:val="en-GB"/>
        </w:rPr>
        <w:t>presumptive systems</w:t>
      </w:r>
      <w:r w:rsidR="004D39C8">
        <w:rPr>
          <w:lang w:val="en-GB"/>
        </w:rPr>
        <w:t>.</w:t>
      </w:r>
      <w:r w:rsidR="00261CDA">
        <w:rPr>
          <w:lang w:val="en-GB"/>
        </w:rPr>
        <w:t xml:space="preserve"> In addition, marginal tax rates can also be raised for high-income individuals, similar to the system in South Africa, w</w:t>
      </w:r>
      <w:r w:rsidR="00261CDA" w:rsidRPr="00261CDA">
        <w:rPr>
          <w:lang w:val="en-GB"/>
        </w:rPr>
        <w:t>ith a top marginal tax rate.</w:t>
      </w:r>
      <w:r w:rsidR="00261CDA">
        <w:rPr>
          <w:lang w:val="en-GB"/>
        </w:rPr>
        <w:t xml:space="preserve"> Low-income groups can also be protected from VAT pressures by expanding VAT exemptions on essentials like food and medicine.</w:t>
      </w:r>
    </w:p>
    <w:p w14:paraId="703CBEE0" w14:textId="77777777" w:rsidR="000253A8" w:rsidRDefault="000253A8" w:rsidP="000253A8">
      <w:pPr>
        <w:ind w:firstLine="0"/>
        <w:rPr>
          <w:lang w:val="en-GB"/>
        </w:rPr>
      </w:pPr>
    </w:p>
    <w:p w14:paraId="0A60C6D4" w14:textId="77777777" w:rsidR="00BC6050" w:rsidRPr="0060362F" w:rsidRDefault="00BC6050" w:rsidP="000253A8">
      <w:pPr>
        <w:pStyle w:val="Heading1"/>
      </w:pPr>
      <w:r w:rsidRPr="0060362F">
        <w:t>Appendix</w:t>
      </w:r>
    </w:p>
    <w:p w14:paraId="137AB499" w14:textId="3A5532F6" w:rsidR="00BC6050" w:rsidRDefault="00444910" w:rsidP="000253A8">
      <w:pPr>
        <w:rPr>
          <w:lang w:eastAsia="en-US"/>
        </w:rPr>
      </w:pPr>
      <w:r>
        <w:t xml:space="preserve">IMF </w:t>
      </w:r>
      <w:r>
        <w:rPr>
          <w:rStyle w:val="Emphasis"/>
        </w:rPr>
        <w:t xml:space="preserve">Regional Economic Outlook for Sub-Saharan Africa (October 2025) </w:t>
      </w:r>
      <w:hyperlink r:id="rId8" w:history="1">
        <w:r w:rsidRPr="00C36D90">
          <w:rPr>
            <w:rStyle w:val="Hyperlink"/>
            <w:lang w:eastAsia="en-US"/>
          </w:rPr>
          <w:t>https://www.imf.org/en/publications/reo/ssa/issues/2025/10/16/regional-economic-outlook-for-sub-saharan-africa-october-2025</w:t>
        </w:r>
      </w:hyperlink>
    </w:p>
    <w:p w14:paraId="17E66DF7" w14:textId="5F4A5258" w:rsidR="00444910" w:rsidRDefault="00444910" w:rsidP="000253A8">
      <w:r w:rsidRPr="00444910">
        <w:t xml:space="preserve">OECD </w:t>
      </w:r>
      <w:r w:rsidRPr="00444910">
        <w:rPr>
          <w:i/>
          <w:iCs/>
        </w:rPr>
        <w:t>Revenue Statistics in Africa</w:t>
      </w:r>
      <w:r>
        <w:t xml:space="preserve"> </w:t>
      </w:r>
      <w:hyperlink r:id="rId9" w:history="1">
        <w:r w:rsidRPr="00C36D90">
          <w:rPr>
            <w:rStyle w:val="Hyperlink"/>
          </w:rPr>
          <w:t>https://www.oecd.org/tax/revenue-statistics-in-africa.htm</w:t>
        </w:r>
      </w:hyperlink>
    </w:p>
    <w:p w14:paraId="2A3CC5E9" w14:textId="0C8B9553" w:rsidR="00444910" w:rsidRPr="00444910" w:rsidRDefault="00444910" w:rsidP="000253A8">
      <w:pPr>
        <w:rPr>
          <w:i/>
          <w:iCs/>
          <w:lang w:val="en-GB" w:eastAsia="en-US"/>
        </w:rPr>
      </w:pPr>
      <w:r w:rsidRPr="00444910">
        <w:rPr>
          <w:lang w:val="en-GB" w:eastAsia="en-US"/>
        </w:rPr>
        <w:t xml:space="preserve">World Bank </w:t>
      </w:r>
      <w:r w:rsidRPr="00444910">
        <w:rPr>
          <w:i/>
          <w:iCs/>
          <w:lang w:val="en-GB" w:eastAsia="en-US"/>
        </w:rPr>
        <w:t>Domestic Revenue Mobilization in Sub-Saharan</w:t>
      </w:r>
      <w:r>
        <w:rPr>
          <w:i/>
          <w:iCs/>
          <w:lang w:val="en-GB" w:eastAsia="en-US"/>
        </w:rPr>
        <w:t xml:space="preserve"> </w:t>
      </w:r>
      <w:r w:rsidRPr="00444910">
        <w:rPr>
          <w:i/>
          <w:iCs/>
          <w:lang w:val="en-GB" w:eastAsia="en-US"/>
        </w:rPr>
        <w:t>Afric</w:t>
      </w:r>
      <w:r>
        <w:rPr>
          <w:i/>
          <w:iCs/>
          <w:lang w:val="en-GB" w:eastAsia="en-US"/>
        </w:rPr>
        <w:t>a</w:t>
      </w:r>
      <w:r w:rsidR="003C4D5A">
        <w:rPr>
          <w:lang w:val="en-GB" w:eastAsia="en-US"/>
        </w:rPr>
        <w:t xml:space="preserve"> </w:t>
      </w:r>
      <w:hyperlink r:id="rId10" w:history="1">
        <w:r w:rsidR="00380E93" w:rsidRPr="00444910">
          <w:rPr>
            <w:rStyle w:val="Hyperlink"/>
            <w:lang w:val="en-GB" w:eastAsia="en-US"/>
          </w:rPr>
          <w:t>https://www.worldbank.org/en/topic/taxes-and-government-revenue</w:t>
        </w:r>
      </w:hyperlink>
    </w:p>
    <w:p w14:paraId="78813F27" w14:textId="22232074" w:rsidR="00444910" w:rsidRPr="00444910" w:rsidRDefault="00444910" w:rsidP="000253A8">
      <w:pPr>
        <w:rPr>
          <w:lang w:val="en-GB" w:eastAsia="en-US"/>
        </w:rPr>
      </w:pPr>
      <w:r w:rsidRPr="00444910">
        <w:rPr>
          <w:lang w:val="en-GB" w:eastAsia="en-US"/>
        </w:rPr>
        <w:t xml:space="preserve">International Monetary Fund (IMF) </w:t>
      </w:r>
      <w:r w:rsidRPr="00444910">
        <w:rPr>
          <w:i/>
          <w:iCs/>
          <w:lang w:val="en-GB" w:eastAsia="en-US"/>
        </w:rPr>
        <w:t>Tax Policy for Inclusive Growth in Sub-Saharan Africa</w:t>
      </w:r>
      <w:r>
        <w:rPr>
          <w:lang w:val="en-GB" w:eastAsia="en-US"/>
        </w:rPr>
        <w:t xml:space="preserve"> </w:t>
      </w:r>
      <w:hyperlink r:id="rId11" w:tgtFrame="_new" w:history="1">
        <w:r w:rsidRPr="00444910">
          <w:rPr>
            <w:rStyle w:val="Hyperlink"/>
            <w:lang w:val="en-GB" w:eastAsia="en-US"/>
          </w:rPr>
          <w:t>https://www.imf.org/en/Topics/fiscal-policies</w:t>
        </w:r>
      </w:hyperlink>
    </w:p>
    <w:p w14:paraId="68720744" w14:textId="09A63D17" w:rsidR="00444910" w:rsidRDefault="00444910" w:rsidP="000253A8">
      <w:pPr>
        <w:rPr>
          <w:lang w:eastAsia="en-US"/>
        </w:rPr>
      </w:pPr>
      <w:r w:rsidRPr="00444910">
        <w:rPr>
          <w:lang w:val="en-GB" w:eastAsia="en-US"/>
        </w:rPr>
        <w:t xml:space="preserve">African Development Bank </w:t>
      </w:r>
      <w:r w:rsidRPr="00444910">
        <w:rPr>
          <w:i/>
          <w:iCs/>
          <w:lang w:val="en-GB" w:eastAsia="en-US"/>
        </w:rPr>
        <w:t>African Economic Outlook</w:t>
      </w:r>
      <w:r>
        <w:rPr>
          <w:lang w:val="en-GB" w:eastAsia="en-US"/>
        </w:rPr>
        <w:t xml:space="preserve"> </w:t>
      </w:r>
      <w:hyperlink r:id="rId12" w:history="1">
        <w:r w:rsidRPr="00444910">
          <w:rPr>
            <w:rStyle w:val="Hyperlink"/>
            <w:lang w:val="en-GB" w:eastAsia="en-US"/>
          </w:rPr>
          <w:t>https://www.afdb.org/en/knowledge/publications/african-economic-outlook</w:t>
        </w:r>
      </w:hyperlink>
    </w:p>
    <w:p w14:paraId="4CC7E375" w14:textId="290B3C8D" w:rsidR="00444910" w:rsidRDefault="00444910" w:rsidP="000253A8">
      <w:pPr>
        <w:rPr>
          <w:lang w:eastAsia="en-US"/>
        </w:rPr>
      </w:pPr>
      <w:r>
        <w:rPr>
          <w:lang w:eastAsia="en-US"/>
        </w:rPr>
        <w:t xml:space="preserve">Abdel Gwaindepi </w:t>
      </w:r>
      <w:r w:rsidRPr="00444910">
        <w:rPr>
          <w:i/>
          <w:iCs/>
          <w:lang w:val="en-GB"/>
        </w:rPr>
        <w:t>Taxation in the context of high informality: Conceptual challenges and evidence from Sub-Saharan Africa</w:t>
      </w:r>
      <w:r>
        <w:rPr>
          <w:b/>
          <w:bCs/>
          <w:i/>
          <w:iCs/>
          <w:lang w:val="en-GB"/>
        </w:rPr>
        <w:t xml:space="preserve"> </w:t>
      </w:r>
      <w:hyperlink r:id="rId13" w:history="1">
        <w:r w:rsidRPr="00C36D90">
          <w:rPr>
            <w:rStyle w:val="Hyperlink"/>
            <w:lang w:eastAsia="en-US"/>
          </w:rPr>
          <w:t>https://onlinelibrary.wiley.com/doi/10.1111/rode.13163</w:t>
        </w:r>
      </w:hyperlink>
    </w:p>
    <w:p w14:paraId="46BCB10B" w14:textId="422FA6D7" w:rsidR="00F56459" w:rsidRDefault="00F56459" w:rsidP="000253A8">
      <w:r>
        <w:rPr>
          <w:lang w:eastAsia="en-US"/>
        </w:rPr>
        <w:t xml:space="preserve">World Bank </w:t>
      </w:r>
      <w:r w:rsidR="00A761B6" w:rsidRPr="00A761B6">
        <w:rPr>
          <w:i/>
          <w:iCs/>
          <w:lang w:eastAsia="en-US"/>
        </w:rPr>
        <w:t>Taxation, Inequality, and Developmen</w:t>
      </w:r>
      <w:r w:rsidR="00A761B6">
        <w:rPr>
          <w:i/>
          <w:iCs/>
          <w:lang w:eastAsia="en-US"/>
        </w:rPr>
        <w:t xml:space="preserve">t </w:t>
      </w:r>
      <w:hyperlink r:id="rId14" w:history="1">
        <w:r w:rsidR="00A761B6" w:rsidRPr="00C36D90">
          <w:rPr>
            <w:rStyle w:val="Hyperlink"/>
          </w:rPr>
          <w:t>https://www.youtube.com/watch?v=-1KxDDATSOQ</w:t>
        </w:r>
      </w:hyperlink>
    </w:p>
    <w:p w14:paraId="149A7842" w14:textId="78255B9F" w:rsidR="00A761B6" w:rsidRPr="00A761B6" w:rsidRDefault="00995832" w:rsidP="000253A8">
      <w:pPr>
        <w:rPr>
          <w:lang w:val="en-GB"/>
        </w:rPr>
      </w:pPr>
      <w:r>
        <w:rPr>
          <w:lang w:val="en-GB"/>
        </w:rPr>
        <w:lastRenderedPageBreak/>
        <w:t xml:space="preserve">UNDP Africa </w:t>
      </w:r>
      <w:r w:rsidR="00A761B6" w:rsidRPr="00A761B6">
        <w:rPr>
          <w:i/>
          <w:iCs/>
          <w:lang w:val="en-GB"/>
        </w:rPr>
        <w:t xml:space="preserve">Income Inequality Trends in </w:t>
      </w:r>
      <w:r>
        <w:rPr>
          <w:i/>
          <w:iCs/>
          <w:lang w:val="en-GB"/>
        </w:rPr>
        <w:t>S</w:t>
      </w:r>
      <w:r w:rsidR="00A761B6" w:rsidRPr="00A761B6">
        <w:rPr>
          <w:i/>
          <w:iCs/>
          <w:lang w:val="en-GB"/>
        </w:rPr>
        <w:t>ub</w:t>
      </w:r>
      <w:r w:rsidR="00A761B6" w:rsidRPr="00A761B6">
        <w:rPr>
          <w:i/>
          <w:iCs/>
          <w:lang w:val="en-GB"/>
        </w:rPr>
        <w:noBreakHyphen/>
        <w:t>Saharan Africa</w:t>
      </w:r>
      <w:r w:rsidR="00A761B6">
        <w:rPr>
          <w:lang w:val="en-GB"/>
        </w:rPr>
        <w:t xml:space="preserve"> </w:t>
      </w:r>
      <w:hyperlink r:id="rId15" w:history="1">
        <w:r w:rsidR="004D39C8" w:rsidRPr="00A761B6">
          <w:rPr>
            <w:rStyle w:val="Hyperlink"/>
            <w:lang w:val="en-GB"/>
          </w:rPr>
          <w:t>https://www.youtube.com/watch?v=AQOePkhHqDI</w:t>
        </w:r>
      </w:hyperlink>
      <w:r w:rsidR="00A761B6" w:rsidRPr="00A761B6">
        <w:rPr>
          <w:lang w:val="en-GB"/>
        </w:rPr>
        <w:t xml:space="preserve"> </w:t>
      </w:r>
    </w:p>
    <w:p w14:paraId="35A0273D" w14:textId="7C6A95A8" w:rsidR="00A761B6" w:rsidRDefault="00A761B6" w:rsidP="000253A8">
      <w:pPr>
        <w:rPr>
          <w:lang w:eastAsia="zh-CN"/>
        </w:rPr>
      </w:pPr>
    </w:p>
    <w:p w14:paraId="3C9B0D71" w14:textId="77777777" w:rsidR="00444910" w:rsidRPr="00444910" w:rsidRDefault="00444910" w:rsidP="000253A8">
      <w:pPr>
        <w:ind w:firstLine="0"/>
        <w:rPr>
          <w:lang w:val="en-GB" w:eastAsia="en-US"/>
        </w:rPr>
      </w:pPr>
    </w:p>
    <w:p w14:paraId="68D303D4" w14:textId="337B1252" w:rsidR="00BC6050" w:rsidRPr="00BC6050" w:rsidRDefault="00BC6050" w:rsidP="000253A8">
      <w:pPr>
        <w:rPr>
          <w:lang w:eastAsia="en-US"/>
        </w:rPr>
      </w:pPr>
      <w:r w:rsidRPr="00BC6050">
        <w:br w:type="page"/>
      </w:r>
    </w:p>
    <w:p w14:paraId="78EA5A8C" w14:textId="667E1F9C" w:rsidR="00606DA1" w:rsidRPr="00790D84" w:rsidRDefault="00330EC2" w:rsidP="000253A8">
      <w:pPr>
        <w:pStyle w:val="Heading1"/>
        <w:rPr>
          <w:lang w:val="en-GB"/>
        </w:rPr>
      </w:pPr>
      <w:r w:rsidRPr="008D3C3E">
        <w:rPr>
          <w:lang w:val="en-GB"/>
        </w:rPr>
        <w:lastRenderedPageBreak/>
        <w:t>Works Cited</w:t>
      </w:r>
    </w:p>
    <w:p w14:paraId="39F29518" w14:textId="77777777" w:rsidR="00903A40" w:rsidRPr="000253A8" w:rsidRDefault="00903A40" w:rsidP="000253A8">
      <w:pPr>
        <w:ind w:left="720" w:hanging="720"/>
        <w:rPr>
          <w:lang w:val="en-GB"/>
        </w:rPr>
      </w:pPr>
      <w:r w:rsidRPr="000253A8">
        <w:rPr>
          <w:lang w:val="en-GB"/>
        </w:rPr>
        <w:t>Abel, Gwaindepi. “Taxation in Africa since Colonial Times.” </w:t>
      </w:r>
      <w:r w:rsidRPr="000253A8">
        <w:rPr>
          <w:i/>
          <w:iCs/>
          <w:lang w:val="en-GB"/>
        </w:rPr>
        <w:t>The History of African Development: An Online Textbook for a New Generation of African Students and Teachers</w:t>
      </w:r>
      <w:r w:rsidRPr="000253A8">
        <w:rPr>
          <w:lang w:val="en-GB"/>
        </w:rPr>
        <w:t>, edited by Ewout Frankema et al., African Economic History Network, 2023.</w:t>
      </w:r>
    </w:p>
    <w:p w14:paraId="2A4E9BCD" w14:textId="77777777" w:rsidR="00903A40" w:rsidRPr="000253A8" w:rsidRDefault="00903A40" w:rsidP="000253A8">
      <w:pPr>
        <w:ind w:left="720" w:hanging="720"/>
        <w:rPr>
          <w:lang w:val="en-GB"/>
        </w:rPr>
      </w:pPr>
      <w:r w:rsidRPr="000253A8">
        <w:rPr>
          <w:lang w:val="en-GB"/>
        </w:rPr>
        <w:t>African Tax Administration Forum. “ATAF Launches the Revenue Action for Development in Africa (RADA) Initiative at the FFD4 Conference in Seville, Spain.” </w:t>
      </w:r>
      <w:r w:rsidRPr="000253A8">
        <w:rPr>
          <w:i/>
          <w:iCs/>
          <w:lang w:val="en-GB"/>
        </w:rPr>
        <w:t>ATAF</w:t>
      </w:r>
      <w:r w:rsidRPr="000253A8">
        <w:rPr>
          <w:lang w:val="en-GB"/>
        </w:rPr>
        <w:t>, 11 July 2025, ataftax.org/news/ataf-launches-the-revenue-action-for-development-in-africa-rada-initiative-at-the-ffd4-conference-in-seville-spain/.</w:t>
      </w:r>
    </w:p>
    <w:p w14:paraId="24BBD866" w14:textId="77777777" w:rsidR="00903A40" w:rsidRPr="000253A8" w:rsidRDefault="00903A40" w:rsidP="000253A8">
      <w:pPr>
        <w:ind w:left="720" w:hanging="720"/>
        <w:rPr>
          <w:lang w:val="en-GB"/>
        </w:rPr>
      </w:pPr>
      <w:r w:rsidRPr="000253A8">
        <w:rPr>
          <w:lang w:val="en-GB"/>
        </w:rPr>
        <w:t>“Africa Rising? Inequalities and the Essential Role of Fair Taxation.” </w:t>
      </w:r>
      <w:r w:rsidRPr="000253A8">
        <w:rPr>
          <w:i/>
          <w:iCs/>
          <w:lang w:val="en-GB"/>
        </w:rPr>
        <w:t>GSDRC: Governance, Social Development, Conflict and Humanitarian Knowledge Services</w:t>
      </w:r>
      <w:r w:rsidRPr="000253A8">
        <w:rPr>
          <w:lang w:val="en-GB"/>
        </w:rPr>
        <w:t>, 21 May 2014, gsdrc.org/document-library/africa-rising-inequalities-and-the-essential-role-of-fair-taxation/. Accessed 5 Feb. 2026.</w:t>
      </w:r>
    </w:p>
    <w:p w14:paraId="55697B20" w14:textId="77777777" w:rsidR="00903A40" w:rsidRPr="000253A8" w:rsidRDefault="00903A40" w:rsidP="000253A8">
      <w:pPr>
        <w:ind w:left="720" w:hanging="720"/>
        <w:rPr>
          <w:lang w:val="en-GB"/>
        </w:rPr>
      </w:pPr>
      <w:r w:rsidRPr="000253A8">
        <w:rPr>
          <w:lang w:val="en-GB"/>
        </w:rPr>
        <w:t>“Assessing the Effectiveness of Progressive Taxation in Emerging Markets.” </w:t>
      </w:r>
      <w:r w:rsidRPr="000253A8">
        <w:rPr>
          <w:i/>
          <w:iCs/>
          <w:lang w:val="en-GB"/>
        </w:rPr>
        <w:t>International Tax Journal</w:t>
      </w:r>
      <w:r w:rsidRPr="000253A8">
        <w:rPr>
          <w:lang w:val="en-GB"/>
        </w:rPr>
        <w:t xml:space="preserve">, 22 Jan. 2026, </w:t>
      </w:r>
      <w:proofErr w:type="spellStart"/>
      <w:r w:rsidRPr="000253A8">
        <w:rPr>
          <w:lang w:val="en-GB"/>
        </w:rPr>
        <w:t>internationaltaxjournal.online</w:t>
      </w:r>
      <w:proofErr w:type="spellEnd"/>
      <w:r w:rsidRPr="000253A8">
        <w:rPr>
          <w:lang w:val="en-GB"/>
        </w:rPr>
        <w:t>/</w:t>
      </w:r>
      <w:proofErr w:type="spellStart"/>
      <w:r w:rsidRPr="000253A8">
        <w:rPr>
          <w:lang w:val="en-GB"/>
        </w:rPr>
        <w:t>index.php</w:t>
      </w:r>
      <w:proofErr w:type="spellEnd"/>
      <w:r w:rsidRPr="000253A8">
        <w:rPr>
          <w:lang w:val="en-GB"/>
        </w:rPr>
        <w:t>/</w:t>
      </w:r>
      <w:proofErr w:type="spellStart"/>
      <w:r w:rsidRPr="000253A8">
        <w:rPr>
          <w:lang w:val="en-GB"/>
        </w:rPr>
        <w:t>itj</w:t>
      </w:r>
      <w:proofErr w:type="spellEnd"/>
      <w:r w:rsidRPr="000253A8">
        <w:rPr>
          <w:lang w:val="en-GB"/>
        </w:rPr>
        <w:t>/article/view/532. Accessed 5 Feb. 2026.</w:t>
      </w:r>
    </w:p>
    <w:p w14:paraId="4AA54BB2" w14:textId="77777777" w:rsidR="00903A40" w:rsidRPr="000253A8" w:rsidRDefault="00903A40" w:rsidP="000253A8">
      <w:pPr>
        <w:ind w:left="720" w:hanging="720"/>
        <w:rPr>
          <w:lang w:val="en-GB"/>
        </w:rPr>
      </w:pPr>
      <w:r w:rsidRPr="000253A8">
        <w:rPr>
          <w:lang w:val="en-GB"/>
        </w:rPr>
        <w:t>“Gini Index – Sub-Saharan Africa.” </w:t>
      </w:r>
      <w:r w:rsidRPr="000253A8">
        <w:rPr>
          <w:i/>
          <w:iCs/>
          <w:lang w:val="en-GB"/>
        </w:rPr>
        <w:t>World Bank Data</w:t>
      </w:r>
      <w:r w:rsidRPr="000253A8">
        <w:rPr>
          <w:lang w:val="en-GB"/>
        </w:rPr>
        <w:t>, data.worldbank.org/indicator/</w:t>
      </w:r>
      <w:proofErr w:type="spellStart"/>
      <w:r w:rsidRPr="000253A8">
        <w:rPr>
          <w:lang w:val="en-GB"/>
        </w:rPr>
        <w:t>SI.POV.GINI?locations</w:t>
      </w:r>
      <w:proofErr w:type="spellEnd"/>
      <w:r w:rsidRPr="000253A8">
        <w:rPr>
          <w:lang w:val="en-GB"/>
        </w:rPr>
        <w:t>=ZG. Accessed 3 Feb. 2026.</w:t>
      </w:r>
    </w:p>
    <w:p w14:paraId="4255DA09" w14:textId="77777777" w:rsidR="00903A40" w:rsidRPr="000253A8" w:rsidRDefault="00903A40" w:rsidP="000253A8">
      <w:pPr>
        <w:ind w:left="720" w:hanging="720"/>
        <w:rPr>
          <w:lang w:val="en-GB"/>
        </w:rPr>
      </w:pPr>
      <w:r w:rsidRPr="000253A8">
        <w:rPr>
          <w:lang w:val="en-GB"/>
        </w:rPr>
        <w:t>“Glossary.” </w:t>
      </w:r>
      <w:r w:rsidRPr="000253A8">
        <w:rPr>
          <w:i/>
          <w:iCs/>
          <w:lang w:val="en-GB"/>
        </w:rPr>
        <w:t>DataBank, World Bank</w:t>
      </w:r>
      <w:r w:rsidRPr="000253A8">
        <w:rPr>
          <w:lang w:val="en-GB"/>
        </w:rPr>
        <w:t>, 2016, databank.worldbank.org/metadataglossary/world-development-indicators/series/SI.POV.GINI. Accessed 3 Feb. 2026.</w:t>
      </w:r>
    </w:p>
    <w:p w14:paraId="729A5419" w14:textId="77777777" w:rsidR="00903A40" w:rsidRPr="000253A8" w:rsidRDefault="00903A40" w:rsidP="000253A8">
      <w:pPr>
        <w:ind w:left="720" w:hanging="720"/>
        <w:rPr>
          <w:lang w:val="en-GB"/>
        </w:rPr>
      </w:pPr>
      <w:r w:rsidRPr="000253A8">
        <w:rPr>
          <w:lang w:val="en-GB"/>
        </w:rPr>
        <w:t>“Global Income Inequality: Top 100 Countries by Gini Coefficient (Latest Data).” </w:t>
      </w:r>
      <w:r w:rsidRPr="000253A8">
        <w:rPr>
          <w:i/>
          <w:iCs/>
          <w:lang w:val="en-GB"/>
        </w:rPr>
        <w:t>World Ranking Sites</w:t>
      </w:r>
      <w:r w:rsidRPr="000253A8">
        <w:rPr>
          <w:lang w:val="en-GB"/>
        </w:rPr>
        <w:t>, 9 Dec. 2025, statranker.org/economy/global-income-inequality-top-100-countries-by-gini-coefficient-latest-data/. Accessed 5 Feb. 2026.</w:t>
      </w:r>
    </w:p>
    <w:p w14:paraId="25993234" w14:textId="77777777" w:rsidR="00903A40" w:rsidRPr="000253A8" w:rsidRDefault="00903A40" w:rsidP="000253A8">
      <w:pPr>
        <w:ind w:left="720" w:hanging="720"/>
        <w:rPr>
          <w:lang w:val="en-GB"/>
        </w:rPr>
      </w:pPr>
      <w:r w:rsidRPr="000253A8">
        <w:rPr>
          <w:lang w:val="en-GB"/>
        </w:rPr>
        <w:t>“Income Inequality Trends in Sub-Saharan Africa: Divergence, Determinants and Consequences.” </w:t>
      </w:r>
      <w:r w:rsidRPr="000253A8">
        <w:rPr>
          <w:i/>
          <w:iCs/>
          <w:lang w:val="en-GB"/>
        </w:rPr>
        <w:t>UNDP</w:t>
      </w:r>
      <w:r w:rsidRPr="000253A8">
        <w:rPr>
          <w:lang w:val="en-GB"/>
        </w:rPr>
        <w:t>, 2017, </w:t>
      </w:r>
      <w:hyperlink r:id="rId16" w:tgtFrame="_blank" w:history="1">
        <w:r w:rsidRPr="000253A8">
          <w:rPr>
            <w:rStyle w:val="Hyperlink"/>
            <w:lang w:val="en-GB"/>
          </w:rPr>
          <w:t>www.undp.org/africa/publications/income-inequality-trends-sub-saharan-africa-divergence-determinants-and-consequences</w:t>
        </w:r>
      </w:hyperlink>
      <w:r w:rsidRPr="000253A8">
        <w:rPr>
          <w:lang w:val="en-GB"/>
        </w:rPr>
        <w:t>. Accessed 13 Feb. 2026.</w:t>
      </w:r>
    </w:p>
    <w:p w14:paraId="0127B6C2" w14:textId="77777777" w:rsidR="00903A40" w:rsidRPr="000253A8" w:rsidRDefault="00903A40" w:rsidP="000253A8">
      <w:pPr>
        <w:ind w:left="720" w:hanging="720"/>
        <w:rPr>
          <w:lang w:val="en-GB"/>
        </w:rPr>
      </w:pPr>
      <w:r w:rsidRPr="000253A8">
        <w:rPr>
          <w:lang w:val="en-GB"/>
        </w:rPr>
        <w:t>“Kenya: Informal Sector Employment by Activity 2023.” </w:t>
      </w:r>
      <w:r w:rsidRPr="000253A8">
        <w:rPr>
          <w:i/>
          <w:iCs/>
          <w:lang w:val="en-GB"/>
        </w:rPr>
        <w:t>Statista</w:t>
      </w:r>
      <w:r w:rsidRPr="000253A8">
        <w:rPr>
          <w:lang w:val="en-GB"/>
        </w:rPr>
        <w:t>, 2023, </w:t>
      </w:r>
      <w:hyperlink r:id="rId17" w:tgtFrame="_blank" w:history="1">
        <w:r w:rsidRPr="000253A8">
          <w:rPr>
            <w:rStyle w:val="Hyperlink"/>
            <w:lang w:val="en-GB"/>
          </w:rPr>
          <w:t>www.statista.com/statistics/1134287/informal-sector-employment-in-kenya-by-activity/</w:t>
        </w:r>
      </w:hyperlink>
      <w:r w:rsidRPr="000253A8">
        <w:rPr>
          <w:lang w:val="en-GB"/>
        </w:rPr>
        <w:t>. Accessed 6 Feb. 2026.</w:t>
      </w:r>
    </w:p>
    <w:p w14:paraId="6B9AD6FD" w14:textId="77777777" w:rsidR="00903A40" w:rsidRPr="000253A8" w:rsidRDefault="00903A40" w:rsidP="000253A8">
      <w:pPr>
        <w:ind w:left="720" w:hanging="720"/>
        <w:rPr>
          <w:lang w:val="en-GB"/>
        </w:rPr>
      </w:pPr>
      <w:proofErr w:type="spellStart"/>
      <w:r w:rsidRPr="000253A8">
        <w:rPr>
          <w:lang w:val="en-GB"/>
        </w:rPr>
        <w:t>Mbs</w:t>
      </w:r>
      <w:proofErr w:type="spellEnd"/>
      <w:r w:rsidRPr="000253A8">
        <w:rPr>
          <w:lang w:val="en-GB"/>
        </w:rPr>
        <w:t>, Chief, and Manager. “VAT Gap Analysis and Kenya’s Experience.” </w:t>
      </w:r>
      <w:r w:rsidRPr="000253A8">
        <w:rPr>
          <w:i/>
          <w:iCs/>
          <w:lang w:val="en-GB"/>
        </w:rPr>
        <w:t>Research &amp; Surveys: Kenya Revenue Authority 2025 ATI General Assembly</w:t>
      </w:r>
      <w:r w:rsidRPr="000253A8">
        <w:rPr>
          <w:lang w:val="en-GB"/>
        </w:rPr>
        <w:t xml:space="preserve">, vol. 22, </w:t>
      </w:r>
      <w:r w:rsidRPr="000253A8">
        <w:rPr>
          <w:lang w:val="en-GB"/>
        </w:rPr>
        <w:lastRenderedPageBreak/>
        <w:t>2025, </w:t>
      </w:r>
      <w:hyperlink r:id="rId18" w:tgtFrame="_blank" w:history="1">
        <w:r w:rsidRPr="000253A8">
          <w:rPr>
            <w:rStyle w:val="Hyperlink"/>
            <w:lang w:val="en-GB"/>
          </w:rPr>
          <w:t>www.addistaxinitiative.net/sites/default/files/resources/Day%203_Tax%20gap%20estimation%20in%20ATI%20partner%20countries.pdf</w:t>
        </w:r>
      </w:hyperlink>
      <w:r w:rsidRPr="000253A8">
        <w:rPr>
          <w:lang w:val="en-GB"/>
        </w:rPr>
        <w:t>.</w:t>
      </w:r>
    </w:p>
    <w:p w14:paraId="2E368FB0" w14:textId="77777777" w:rsidR="00903A40" w:rsidRPr="000253A8" w:rsidRDefault="00903A40" w:rsidP="000253A8">
      <w:pPr>
        <w:ind w:left="720" w:hanging="720"/>
        <w:rPr>
          <w:lang w:val="en-GB"/>
        </w:rPr>
      </w:pPr>
      <w:r w:rsidRPr="000253A8">
        <w:rPr>
          <w:lang w:val="en-GB"/>
        </w:rPr>
        <w:t>International Monetary Fund. </w:t>
      </w:r>
      <w:r w:rsidRPr="000253A8">
        <w:rPr>
          <w:i/>
          <w:iCs/>
          <w:lang w:val="en-GB"/>
        </w:rPr>
        <w:t>Regional Economic Outlook: Sub-Saharan Africa</w:t>
      </w:r>
      <w:r w:rsidRPr="000253A8">
        <w:rPr>
          <w:lang w:val="en-GB"/>
        </w:rPr>
        <w:t>. IMF, 16 Oct. 2025, </w:t>
      </w:r>
      <w:hyperlink r:id="rId19" w:tgtFrame="_blank" w:history="1">
        <w:r w:rsidRPr="000253A8">
          <w:rPr>
            <w:rStyle w:val="Hyperlink"/>
            <w:lang w:val="en-GB"/>
          </w:rPr>
          <w:t>www.imf.org/-/media/files/publications/reo/afr/2025/october/english/text.pdf</w:t>
        </w:r>
      </w:hyperlink>
      <w:r w:rsidRPr="000253A8">
        <w:rPr>
          <w:lang w:val="en-GB"/>
        </w:rPr>
        <w:t>.</w:t>
      </w:r>
    </w:p>
    <w:p w14:paraId="7E3327D4" w14:textId="77777777" w:rsidR="00903A40" w:rsidRPr="000253A8" w:rsidRDefault="00903A40" w:rsidP="000253A8">
      <w:pPr>
        <w:ind w:left="720" w:hanging="720"/>
        <w:rPr>
          <w:lang w:val="en-GB"/>
        </w:rPr>
      </w:pPr>
      <w:r w:rsidRPr="000253A8">
        <w:rPr>
          <w:lang w:val="en-GB"/>
        </w:rPr>
        <w:t>“Wealthy Africans Often Don’t Pay Tax: The Answer Lies in Smarter Collection.” </w:t>
      </w:r>
      <w:r w:rsidRPr="000253A8">
        <w:rPr>
          <w:i/>
          <w:iCs/>
          <w:lang w:val="en-GB"/>
        </w:rPr>
        <w:t>ICTD</w:t>
      </w:r>
      <w:r w:rsidRPr="000253A8">
        <w:rPr>
          <w:lang w:val="en-GB"/>
        </w:rPr>
        <w:t>, 5 Nov. 2025, </w:t>
      </w:r>
      <w:hyperlink r:id="rId20" w:tgtFrame="_blank" w:history="1">
        <w:r w:rsidRPr="000253A8">
          <w:rPr>
            <w:rStyle w:val="Hyperlink"/>
            <w:lang w:val="en-GB"/>
          </w:rPr>
          <w:t>www.ictd.ac/blog/wealthy-africans-often-dont-pay-tax-the-answer-lies-in-smarter-collection/</w:t>
        </w:r>
      </w:hyperlink>
      <w:r w:rsidRPr="000253A8">
        <w:rPr>
          <w:lang w:val="en-GB"/>
        </w:rPr>
        <w:t>. Accessed 5 Feb. 2026.</w:t>
      </w:r>
    </w:p>
    <w:p w14:paraId="0B8BE881" w14:textId="77777777" w:rsidR="00903A40" w:rsidRPr="000253A8" w:rsidRDefault="00903A40" w:rsidP="000253A8">
      <w:pPr>
        <w:ind w:left="720" w:hanging="720"/>
        <w:rPr>
          <w:lang w:val="en-GB"/>
        </w:rPr>
      </w:pPr>
      <w:r w:rsidRPr="000253A8">
        <w:rPr>
          <w:lang w:val="en-GB"/>
        </w:rPr>
        <w:t>World Bank. </w:t>
      </w:r>
      <w:r w:rsidRPr="000253A8">
        <w:rPr>
          <w:i/>
          <w:iCs/>
          <w:lang w:val="en-GB"/>
        </w:rPr>
        <w:t>WBG Poverty and Inequality Update – Fall 2025</w:t>
      </w:r>
      <w:r w:rsidRPr="000253A8">
        <w:rPr>
          <w:lang w:val="en-GB"/>
        </w:rPr>
        <w:t>. World Bank Group, 1 Oct. 2025, todocs.worldbank.org/en/doc/229ff18129687a785f08af7cfb28e5e1-0350012025/original/WBG-Poverty-and-Inequality-Update-Fall-2025.pdf. Accessed 3 Feb. 2026.</w:t>
      </w:r>
    </w:p>
    <w:p w14:paraId="4FD1783B" w14:textId="24E1E637" w:rsidR="007A5D13" w:rsidRPr="008D3C3E" w:rsidRDefault="00903A40" w:rsidP="000253A8">
      <w:pPr>
        <w:ind w:left="720" w:hanging="720"/>
        <w:rPr>
          <w:lang w:val="en-GB"/>
        </w:rPr>
      </w:pPr>
      <w:r w:rsidRPr="000253A8">
        <w:rPr>
          <w:lang w:val="en-GB"/>
        </w:rPr>
        <w:t>World Population Review. “Gini Coefficient by Country.” </w:t>
      </w:r>
      <w:r w:rsidRPr="000253A8">
        <w:rPr>
          <w:i/>
          <w:iCs/>
          <w:lang w:val="en-GB"/>
        </w:rPr>
        <w:t>World Population Review</w:t>
      </w:r>
      <w:r w:rsidRPr="000253A8">
        <w:rPr>
          <w:lang w:val="en-GB"/>
        </w:rPr>
        <w:t>, worldpopulationreview.com/country-rankings/gini-coefficient-by-country/. Accessed 10 Feb. 2026.</w:t>
      </w:r>
    </w:p>
    <w:sectPr w:rsidR="007A5D13" w:rsidRPr="008D3C3E" w:rsidSect="00E41ECD">
      <w:headerReference w:type="default" r:id="rId21"/>
      <w:footerReference w:type="even"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2F42" w14:textId="77777777" w:rsidR="00927EED" w:rsidRDefault="00927EED" w:rsidP="00E41ECD">
      <w:r>
        <w:separator/>
      </w:r>
    </w:p>
  </w:endnote>
  <w:endnote w:type="continuationSeparator" w:id="0">
    <w:p w14:paraId="27B8BD19" w14:textId="77777777" w:rsidR="00927EED" w:rsidRDefault="00927EED" w:rsidP="00E41ECD">
      <w:r>
        <w:continuationSeparator/>
      </w:r>
    </w:p>
  </w:endnote>
  <w:endnote w:type="continuationNotice" w:id="1">
    <w:p w14:paraId="7C6E3723" w14:textId="77777777" w:rsidR="00927EED" w:rsidRDefault="00927E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0908350"/>
      <w:docPartObj>
        <w:docPartGallery w:val="Page Numbers (Bottom of Page)"/>
        <w:docPartUnique/>
      </w:docPartObj>
    </w:sdtPr>
    <w:sdtContent>
      <w:p w14:paraId="25FBFC6E" w14:textId="2F000B07" w:rsidR="00C7784F" w:rsidRDefault="00E41ECD" w:rsidP="005042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1D1829" w14:textId="008A8E1B" w:rsidR="00E41ECD" w:rsidRDefault="00E41ECD" w:rsidP="00C7784F">
    <w:pPr>
      <w:pStyle w:val="Footer"/>
      <w:ind w:right="360"/>
      <w:rPr>
        <w:rStyle w:val="PageNumber"/>
      </w:rPr>
    </w:pPr>
  </w:p>
  <w:p w14:paraId="010E14C8" w14:textId="77777777" w:rsidR="00E41ECD" w:rsidRDefault="00E41ECD" w:rsidP="00E4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3922153"/>
      <w:docPartObj>
        <w:docPartGallery w:val="Page Numbers (Bottom of Page)"/>
        <w:docPartUnique/>
      </w:docPartObj>
    </w:sdtPr>
    <w:sdtContent>
      <w:p w14:paraId="0181344F" w14:textId="11E1283E" w:rsidR="00504276" w:rsidRDefault="00504276" w:rsidP="00D86A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397ACA6" w14:textId="320304E4" w:rsidR="00E41ECD" w:rsidRPr="00504276" w:rsidRDefault="00504276" w:rsidP="00504276">
    <w:pPr>
      <w:pStyle w:val="Footer"/>
      <w:ind w:right="360" w:firstLine="0"/>
      <w:rPr>
        <w:rStyle w:val="PageNumber"/>
        <w:sz w:val="20"/>
        <w:szCs w:val="20"/>
      </w:rPr>
    </w:pPr>
    <w:r w:rsidRPr="00504276">
      <w:rPr>
        <w:rStyle w:val="PageNumber"/>
        <w:sz w:val="20"/>
        <w:szCs w:val="20"/>
      </w:rPr>
      <w:t>The British School of Beijing, Shunyi</w:t>
    </w:r>
    <w:r w:rsidR="008734D0" w:rsidRPr="00504276">
      <w:rPr>
        <w:rStyle w:val="PageNumber"/>
        <w:sz w:val="20"/>
        <w:szCs w:val="20"/>
      </w:rPr>
      <w:t xml:space="preserve"> | </w:t>
    </w:r>
    <w:r w:rsidRPr="00504276">
      <w:rPr>
        <w:rStyle w:val="PageNumber"/>
        <w:color w:val="2FCED6"/>
        <w:sz w:val="20"/>
        <w:szCs w:val="20"/>
      </w:rPr>
      <w:t>Model United Nations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3471" w14:textId="77777777" w:rsidR="00927EED" w:rsidRDefault="00927EED" w:rsidP="00E41ECD">
      <w:r>
        <w:separator/>
      </w:r>
    </w:p>
  </w:footnote>
  <w:footnote w:type="continuationSeparator" w:id="0">
    <w:p w14:paraId="1212A921" w14:textId="77777777" w:rsidR="00927EED" w:rsidRDefault="00927EED" w:rsidP="00E41ECD">
      <w:r>
        <w:continuationSeparator/>
      </w:r>
    </w:p>
  </w:footnote>
  <w:footnote w:type="continuationNotice" w:id="1">
    <w:p w14:paraId="1F9EEFD1" w14:textId="77777777" w:rsidR="00927EED" w:rsidRDefault="00927E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9774" w14:textId="426F46D9" w:rsidR="488AC191" w:rsidRPr="00F8072D" w:rsidRDefault="00F31929" w:rsidP="00F8072D">
    <w:pPr>
      <w:pStyle w:val="Header"/>
      <w:wordWrap w:val="0"/>
      <w:ind w:firstLine="0"/>
      <w:jc w:val="right"/>
      <w:rPr>
        <w:rFonts w:eastAsia="DengXian"/>
        <w:lang w:eastAsia="zh-CN"/>
      </w:rPr>
    </w:pPr>
    <w:r w:rsidRPr="00F31929">
      <w:rPr>
        <w:color w:val="2FCED6"/>
      </w:rPr>
      <w:t>BRITMUN</w:t>
    </w:r>
    <w:r>
      <w:t xml:space="preserve"> 202</w:t>
    </w:r>
    <w:r w:rsidR="00F8072D">
      <w:rPr>
        <w:rFonts w:eastAsia="DengXian" w:hint="eastAsia"/>
        <w:lang w:eastAsia="zh-CN"/>
      </w:rPr>
      <w:t>6</w:t>
    </w:r>
    <w:r>
      <w:t xml:space="preserve"> | </w:t>
    </w:r>
    <w:r w:rsidR="00F8072D" w:rsidRPr="00F8072D">
      <w:rPr>
        <w:rFonts w:eastAsia="DengXian"/>
        <w:lang w:eastAsia="zh-CN"/>
      </w:rPr>
      <w:t>Over</w:t>
    </w:r>
    <w:r w:rsidR="00F8072D">
      <w:rPr>
        <w:rFonts w:eastAsia="DengXian" w:hint="eastAsia"/>
        <w:lang w:eastAsia="zh-CN"/>
      </w:rPr>
      <w:t xml:space="preserve">coming Disputes in a </w:t>
    </w:r>
    <w:proofErr w:type="spellStart"/>
    <w:r w:rsidR="00F8072D">
      <w:rPr>
        <w:rFonts w:eastAsia="DengXian" w:hint="eastAsia"/>
        <w:lang w:eastAsia="zh-CN"/>
      </w:rPr>
      <w:t>Deglobalising</w:t>
    </w:r>
    <w:proofErr w:type="spellEnd"/>
    <w:r w:rsidR="00F8072D">
      <w:rPr>
        <w:rFonts w:eastAsia="DengXian" w:hint="eastAsia"/>
        <w:lang w:eastAsia="zh-CN"/>
      </w:rPr>
      <w:t xml:space="preserve"> World</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5FC"/>
    <w:multiLevelType w:val="multilevel"/>
    <w:tmpl w:val="6234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5178C"/>
    <w:multiLevelType w:val="multilevel"/>
    <w:tmpl w:val="18C837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D076A2"/>
    <w:multiLevelType w:val="multilevel"/>
    <w:tmpl w:val="C8A8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421812"/>
    <w:multiLevelType w:val="multilevel"/>
    <w:tmpl w:val="3CBAF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F5506E"/>
    <w:multiLevelType w:val="multilevel"/>
    <w:tmpl w:val="944C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70560"/>
    <w:multiLevelType w:val="multilevel"/>
    <w:tmpl w:val="A4DC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B05AFF"/>
    <w:multiLevelType w:val="multilevel"/>
    <w:tmpl w:val="6FFA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6D5D25"/>
    <w:multiLevelType w:val="multilevel"/>
    <w:tmpl w:val="41A6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9171010">
    <w:abstractNumId w:val="2"/>
  </w:num>
  <w:num w:numId="2" w16cid:durableId="422343492">
    <w:abstractNumId w:val="7"/>
  </w:num>
  <w:num w:numId="3" w16cid:durableId="1180696927">
    <w:abstractNumId w:val="6"/>
  </w:num>
  <w:num w:numId="4" w16cid:durableId="1685547688">
    <w:abstractNumId w:val="3"/>
  </w:num>
  <w:num w:numId="5" w16cid:durableId="196891954">
    <w:abstractNumId w:val="1"/>
  </w:num>
  <w:num w:numId="6" w16cid:durableId="1985770958">
    <w:abstractNumId w:val="0"/>
  </w:num>
  <w:num w:numId="7" w16cid:durableId="657222885">
    <w:abstractNumId w:val="5"/>
  </w:num>
  <w:num w:numId="8" w16cid:durableId="1219972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CD"/>
    <w:rsid w:val="00001DD2"/>
    <w:rsid w:val="000151F8"/>
    <w:rsid w:val="00021825"/>
    <w:rsid w:val="000253A8"/>
    <w:rsid w:val="00031276"/>
    <w:rsid w:val="0004241B"/>
    <w:rsid w:val="0004491D"/>
    <w:rsid w:val="00080548"/>
    <w:rsid w:val="00082433"/>
    <w:rsid w:val="00094D04"/>
    <w:rsid w:val="00095291"/>
    <w:rsid w:val="000A5BAC"/>
    <w:rsid w:val="000A6909"/>
    <w:rsid w:val="000ADAB2"/>
    <w:rsid w:val="00104FDA"/>
    <w:rsid w:val="00110AFD"/>
    <w:rsid w:val="00126D71"/>
    <w:rsid w:val="001320B2"/>
    <w:rsid w:val="00132484"/>
    <w:rsid w:val="00134A7A"/>
    <w:rsid w:val="001633EE"/>
    <w:rsid w:val="00190205"/>
    <w:rsid w:val="001A3873"/>
    <w:rsid w:val="001A5CEB"/>
    <w:rsid w:val="001A7646"/>
    <w:rsid w:val="001D115E"/>
    <w:rsid w:val="001D1D32"/>
    <w:rsid w:val="001D4FA7"/>
    <w:rsid w:val="001D771F"/>
    <w:rsid w:val="001E1594"/>
    <w:rsid w:val="002058B4"/>
    <w:rsid w:val="00224003"/>
    <w:rsid w:val="002434B9"/>
    <w:rsid w:val="002573B2"/>
    <w:rsid w:val="00261CDA"/>
    <w:rsid w:val="002679FF"/>
    <w:rsid w:val="00270D3E"/>
    <w:rsid w:val="00281CD2"/>
    <w:rsid w:val="0028264F"/>
    <w:rsid w:val="00291D61"/>
    <w:rsid w:val="00295380"/>
    <w:rsid w:val="002A16A3"/>
    <w:rsid w:val="002A5BB1"/>
    <w:rsid w:val="002C71BE"/>
    <w:rsid w:val="002E6B47"/>
    <w:rsid w:val="002E7375"/>
    <w:rsid w:val="00306D44"/>
    <w:rsid w:val="003253A8"/>
    <w:rsid w:val="00330EC2"/>
    <w:rsid w:val="00351A1A"/>
    <w:rsid w:val="00351B15"/>
    <w:rsid w:val="00380E93"/>
    <w:rsid w:val="00380FC3"/>
    <w:rsid w:val="00382754"/>
    <w:rsid w:val="003961F2"/>
    <w:rsid w:val="003A5DB9"/>
    <w:rsid w:val="003A63BA"/>
    <w:rsid w:val="003A645A"/>
    <w:rsid w:val="003C4D5A"/>
    <w:rsid w:val="003C5851"/>
    <w:rsid w:val="003D39DE"/>
    <w:rsid w:val="003E1AAC"/>
    <w:rsid w:val="003F7C83"/>
    <w:rsid w:val="00401626"/>
    <w:rsid w:val="00401BBD"/>
    <w:rsid w:val="00407A84"/>
    <w:rsid w:val="004155AB"/>
    <w:rsid w:val="00423901"/>
    <w:rsid w:val="00444910"/>
    <w:rsid w:val="00454427"/>
    <w:rsid w:val="00461265"/>
    <w:rsid w:val="004624B5"/>
    <w:rsid w:val="00466ADC"/>
    <w:rsid w:val="00477395"/>
    <w:rsid w:val="004A5304"/>
    <w:rsid w:val="004A7E2E"/>
    <w:rsid w:val="004B2916"/>
    <w:rsid w:val="004B6EB5"/>
    <w:rsid w:val="004C2D3C"/>
    <w:rsid w:val="004C539A"/>
    <w:rsid w:val="004D39C8"/>
    <w:rsid w:val="004F7C76"/>
    <w:rsid w:val="00504276"/>
    <w:rsid w:val="0051205A"/>
    <w:rsid w:val="00512498"/>
    <w:rsid w:val="00532D0E"/>
    <w:rsid w:val="005369FA"/>
    <w:rsid w:val="00554E2E"/>
    <w:rsid w:val="00566037"/>
    <w:rsid w:val="005747DF"/>
    <w:rsid w:val="00590439"/>
    <w:rsid w:val="00594A77"/>
    <w:rsid w:val="005B052A"/>
    <w:rsid w:val="005D2709"/>
    <w:rsid w:val="005E407A"/>
    <w:rsid w:val="005F6CDA"/>
    <w:rsid w:val="0060362F"/>
    <w:rsid w:val="00604A28"/>
    <w:rsid w:val="00605C18"/>
    <w:rsid w:val="00606DA1"/>
    <w:rsid w:val="00614BF4"/>
    <w:rsid w:val="00635826"/>
    <w:rsid w:val="00644379"/>
    <w:rsid w:val="00645413"/>
    <w:rsid w:val="00645E2D"/>
    <w:rsid w:val="00663508"/>
    <w:rsid w:val="0067469E"/>
    <w:rsid w:val="00685BE9"/>
    <w:rsid w:val="006C4FB0"/>
    <w:rsid w:val="006C6EA2"/>
    <w:rsid w:val="006D4815"/>
    <w:rsid w:val="00702775"/>
    <w:rsid w:val="0070410C"/>
    <w:rsid w:val="007069ED"/>
    <w:rsid w:val="0073196B"/>
    <w:rsid w:val="00735D1F"/>
    <w:rsid w:val="0073620C"/>
    <w:rsid w:val="00737F05"/>
    <w:rsid w:val="00740D42"/>
    <w:rsid w:val="00744F99"/>
    <w:rsid w:val="0077015F"/>
    <w:rsid w:val="00780720"/>
    <w:rsid w:val="00790B05"/>
    <w:rsid w:val="00790D84"/>
    <w:rsid w:val="007A5D13"/>
    <w:rsid w:val="007B0EDA"/>
    <w:rsid w:val="007C6A43"/>
    <w:rsid w:val="007C7005"/>
    <w:rsid w:val="007E7314"/>
    <w:rsid w:val="007F255D"/>
    <w:rsid w:val="0080601E"/>
    <w:rsid w:val="008065B8"/>
    <w:rsid w:val="008143AE"/>
    <w:rsid w:val="0081657F"/>
    <w:rsid w:val="008705F7"/>
    <w:rsid w:val="00872FA2"/>
    <w:rsid w:val="008734D0"/>
    <w:rsid w:val="008754D8"/>
    <w:rsid w:val="0087638C"/>
    <w:rsid w:val="00876DE3"/>
    <w:rsid w:val="008B0F4D"/>
    <w:rsid w:val="008B542F"/>
    <w:rsid w:val="008C0A97"/>
    <w:rsid w:val="008C16C3"/>
    <w:rsid w:val="008D3C3E"/>
    <w:rsid w:val="008D3DAD"/>
    <w:rsid w:val="008F5266"/>
    <w:rsid w:val="00900672"/>
    <w:rsid w:val="00900B76"/>
    <w:rsid w:val="00903A40"/>
    <w:rsid w:val="0090568C"/>
    <w:rsid w:val="00906B18"/>
    <w:rsid w:val="009142F2"/>
    <w:rsid w:val="00917AF3"/>
    <w:rsid w:val="00926124"/>
    <w:rsid w:val="00927EED"/>
    <w:rsid w:val="00957605"/>
    <w:rsid w:val="00961BE3"/>
    <w:rsid w:val="00967AB1"/>
    <w:rsid w:val="00973E4C"/>
    <w:rsid w:val="00995406"/>
    <w:rsid w:val="00995832"/>
    <w:rsid w:val="009A0BC1"/>
    <w:rsid w:val="009A5F47"/>
    <w:rsid w:val="009B263A"/>
    <w:rsid w:val="009B4113"/>
    <w:rsid w:val="009E131E"/>
    <w:rsid w:val="009F2E5D"/>
    <w:rsid w:val="00A0447E"/>
    <w:rsid w:val="00A12D6F"/>
    <w:rsid w:val="00A16280"/>
    <w:rsid w:val="00A2014B"/>
    <w:rsid w:val="00A25957"/>
    <w:rsid w:val="00A36063"/>
    <w:rsid w:val="00A63FDA"/>
    <w:rsid w:val="00A75A4E"/>
    <w:rsid w:val="00A761B6"/>
    <w:rsid w:val="00AB266A"/>
    <w:rsid w:val="00AC20AE"/>
    <w:rsid w:val="00AC3A24"/>
    <w:rsid w:val="00AC5E5B"/>
    <w:rsid w:val="00AD1911"/>
    <w:rsid w:val="00AE2EBC"/>
    <w:rsid w:val="00B044F8"/>
    <w:rsid w:val="00B05C16"/>
    <w:rsid w:val="00B24324"/>
    <w:rsid w:val="00B4032D"/>
    <w:rsid w:val="00B4290A"/>
    <w:rsid w:val="00B47436"/>
    <w:rsid w:val="00B556C5"/>
    <w:rsid w:val="00B638E6"/>
    <w:rsid w:val="00B63A6E"/>
    <w:rsid w:val="00B65B31"/>
    <w:rsid w:val="00B70959"/>
    <w:rsid w:val="00B76DDB"/>
    <w:rsid w:val="00B771EB"/>
    <w:rsid w:val="00B77F8D"/>
    <w:rsid w:val="00B811E9"/>
    <w:rsid w:val="00B92A8B"/>
    <w:rsid w:val="00BB75D4"/>
    <w:rsid w:val="00BC4FC7"/>
    <w:rsid w:val="00BC6050"/>
    <w:rsid w:val="00BC7802"/>
    <w:rsid w:val="00BD2E68"/>
    <w:rsid w:val="00BD6D01"/>
    <w:rsid w:val="00BDFE27"/>
    <w:rsid w:val="00BE28A0"/>
    <w:rsid w:val="00BE547E"/>
    <w:rsid w:val="00BF0087"/>
    <w:rsid w:val="00C0070D"/>
    <w:rsid w:val="00C0780B"/>
    <w:rsid w:val="00C13015"/>
    <w:rsid w:val="00C26769"/>
    <w:rsid w:val="00C329AB"/>
    <w:rsid w:val="00C374AF"/>
    <w:rsid w:val="00C43517"/>
    <w:rsid w:val="00C4503C"/>
    <w:rsid w:val="00C63F59"/>
    <w:rsid w:val="00C7328B"/>
    <w:rsid w:val="00C7784F"/>
    <w:rsid w:val="00C809BF"/>
    <w:rsid w:val="00C92F26"/>
    <w:rsid w:val="00CC1C88"/>
    <w:rsid w:val="00CD1DA0"/>
    <w:rsid w:val="00CD26FF"/>
    <w:rsid w:val="00CF0DFD"/>
    <w:rsid w:val="00CF1566"/>
    <w:rsid w:val="00CF288C"/>
    <w:rsid w:val="00D06755"/>
    <w:rsid w:val="00D07777"/>
    <w:rsid w:val="00D10AA1"/>
    <w:rsid w:val="00D375A1"/>
    <w:rsid w:val="00D41F2C"/>
    <w:rsid w:val="00D47595"/>
    <w:rsid w:val="00D64518"/>
    <w:rsid w:val="00D6700F"/>
    <w:rsid w:val="00D7786B"/>
    <w:rsid w:val="00D96940"/>
    <w:rsid w:val="00D97C2F"/>
    <w:rsid w:val="00DB1CE0"/>
    <w:rsid w:val="00DB1E3F"/>
    <w:rsid w:val="00DB2E60"/>
    <w:rsid w:val="00DB368D"/>
    <w:rsid w:val="00DD2D1B"/>
    <w:rsid w:val="00DD5141"/>
    <w:rsid w:val="00DD684F"/>
    <w:rsid w:val="00DF0950"/>
    <w:rsid w:val="00DF1509"/>
    <w:rsid w:val="00E074E9"/>
    <w:rsid w:val="00E230EC"/>
    <w:rsid w:val="00E41ECD"/>
    <w:rsid w:val="00E42142"/>
    <w:rsid w:val="00E441A8"/>
    <w:rsid w:val="00E520B2"/>
    <w:rsid w:val="00E656C7"/>
    <w:rsid w:val="00EE6700"/>
    <w:rsid w:val="00EF18E3"/>
    <w:rsid w:val="00EF38EF"/>
    <w:rsid w:val="00F253DF"/>
    <w:rsid w:val="00F318B7"/>
    <w:rsid w:val="00F31929"/>
    <w:rsid w:val="00F34063"/>
    <w:rsid w:val="00F513B4"/>
    <w:rsid w:val="00F5239B"/>
    <w:rsid w:val="00F56459"/>
    <w:rsid w:val="00F7335C"/>
    <w:rsid w:val="00F76193"/>
    <w:rsid w:val="00F8072D"/>
    <w:rsid w:val="00F82B43"/>
    <w:rsid w:val="00F87532"/>
    <w:rsid w:val="00F908FC"/>
    <w:rsid w:val="00FB1B44"/>
    <w:rsid w:val="00FC090A"/>
    <w:rsid w:val="00FC220F"/>
    <w:rsid w:val="00FD32F2"/>
    <w:rsid w:val="00FD623B"/>
    <w:rsid w:val="03B62B51"/>
    <w:rsid w:val="0556CCF7"/>
    <w:rsid w:val="06F9151C"/>
    <w:rsid w:val="11987662"/>
    <w:rsid w:val="1BABC73F"/>
    <w:rsid w:val="286EBBB7"/>
    <w:rsid w:val="41E84264"/>
    <w:rsid w:val="43AC2E7D"/>
    <w:rsid w:val="488AC191"/>
    <w:rsid w:val="5018CE85"/>
    <w:rsid w:val="5956B39D"/>
    <w:rsid w:val="5D85279F"/>
    <w:rsid w:val="644477CB"/>
    <w:rsid w:val="650B302B"/>
    <w:rsid w:val="65F5F761"/>
    <w:rsid w:val="66F92D42"/>
    <w:rsid w:val="67A62348"/>
    <w:rsid w:val="79840AF1"/>
    <w:rsid w:val="7F6143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33488"/>
  <w15:chartTrackingRefBased/>
  <w15:docId w15:val="{06A287EF-4806-4939-84A0-ADB8DACF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D84"/>
    <w:pPr>
      <w:spacing w:line="360" w:lineRule="auto"/>
      <w:ind w:firstLine="720"/>
    </w:pPr>
    <w:rPr>
      <w:rFonts w:ascii="Arial" w:hAnsi="Arial" w:cs="Arial"/>
      <w:sz w:val="22"/>
      <w:szCs w:val="22"/>
    </w:rPr>
  </w:style>
  <w:style w:type="paragraph" w:styleId="Heading1">
    <w:name w:val="heading 1"/>
    <w:basedOn w:val="Normal"/>
    <w:next w:val="Normal"/>
    <w:link w:val="Heading1Char"/>
    <w:uiPriority w:val="9"/>
    <w:qFormat/>
    <w:rsid w:val="00E41ECD"/>
    <w:pPr>
      <w:spacing w:before="240" w:after="240"/>
      <w:ind w:firstLine="0"/>
      <w:jc w:val="both"/>
      <w:outlineLvl w:val="0"/>
    </w:pPr>
    <w:rPr>
      <w:rFonts w:eastAsia="SimSun"/>
      <w:b/>
      <w:color w:val="2E74B5"/>
      <w:kern w:val="0"/>
      <w:sz w:val="28"/>
      <w:szCs w:val="28"/>
      <w:lang w:eastAsia="en-US"/>
      <w14:ligatures w14:val="none"/>
    </w:rPr>
  </w:style>
  <w:style w:type="paragraph" w:styleId="Heading2">
    <w:name w:val="heading 2"/>
    <w:basedOn w:val="Normal"/>
    <w:next w:val="Normal"/>
    <w:link w:val="Heading2Char"/>
    <w:uiPriority w:val="9"/>
    <w:unhideWhenUsed/>
    <w:qFormat/>
    <w:rsid w:val="00DD2D1B"/>
    <w:pPr>
      <w:ind w:firstLine="0"/>
      <w:outlineLvl w:val="1"/>
    </w:pPr>
    <w:rPr>
      <w:b/>
      <w:sz w:val="24"/>
      <w:szCs w:val="24"/>
    </w:rPr>
  </w:style>
  <w:style w:type="paragraph" w:styleId="Heading3">
    <w:name w:val="heading 3"/>
    <w:basedOn w:val="Heading2"/>
    <w:next w:val="Normal"/>
    <w:link w:val="Heading3Char"/>
    <w:uiPriority w:val="9"/>
    <w:unhideWhenUsed/>
    <w:qFormat/>
    <w:rsid w:val="00A36063"/>
    <w:pPr>
      <w:ind w:firstLine="720"/>
      <w:outlineLvl w:val="2"/>
    </w:pPr>
    <w:rPr>
      <w:i/>
      <w:iCs/>
    </w:rPr>
  </w:style>
  <w:style w:type="paragraph" w:styleId="Heading4">
    <w:name w:val="heading 4"/>
    <w:basedOn w:val="Normal"/>
    <w:next w:val="Normal"/>
    <w:link w:val="Heading4Char"/>
    <w:uiPriority w:val="9"/>
    <w:semiHidden/>
    <w:unhideWhenUsed/>
    <w:qFormat/>
    <w:rsid w:val="00E41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ECD"/>
    <w:rPr>
      <w:rFonts w:ascii="Arial" w:eastAsia="SimSun" w:hAnsi="Arial" w:cs="Arial"/>
      <w:b/>
      <w:color w:val="2E74B5"/>
      <w:kern w:val="0"/>
      <w:sz w:val="28"/>
      <w:szCs w:val="28"/>
      <w:lang w:eastAsia="en-US"/>
      <w14:ligatures w14:val="none"/>
    </w:rPr>
  </w:style>
  <w:style w:type="character" w:customStyle="1" w:styleId="Heading2Char">
    <w:name w:val="Heading 2 Char"/>
    <w:basedOn w:val="DefaultParagraphFont"/>
    <w:link w:val="Heading2"/>
    <w:uiPriority w:val="9"/>
    <w:rsid w:val="00DD2D1B"/>
    <w:rPr>
      <w:rFonts w:ascii="Arial" w:hAnsi="Arial" w:cs="Arial"/>
      <w:b/>
    </w:rPr>
  </w:style>
  <w:style w:type="character" w:customStyle="1" w:styleId="Heading3Char">
    <w:name w:val="Heading 3 Char"/>
    <w:basedOn w:val="DefaultParagraphFont"/>
    <w:link w:val="Heading3"/>
    <w:uiPriority w:val="9"/>
    <w:rsid w:val="00A36063"/>
    <w:rPr>
      <w:rFonts w:ascii="Arial" w:hAnsi="Arial" w:cs="Arial"/>
      <w:b/>
      <w:i/>
      <w:iCs/>
    </w:rPr>
  </w:style>
  <w:style w:type="character" w:customStyle="1" w:styleId="Heading4Char">
    <w:name w:val="Heading 4 Char"/>
    <w:basedOn w:val="DefaultParagraphFont"/>
    <w:link w:val="Heading4"/>
    <w:uiPriority w:val="9"/>
    <w:semiHidden/>
    <w:rsid w:val="00E41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ECD"/>
    <w:rPr>
      <w:rFonts w:eastAsiaTheme="majorEastAsia" w:cstheme="majorBidi"/>
      <w:color w:val="272727" w:themeColor="text1" w:themeTint="D8"/>
    </w:rPr>
  </w:style>
  <w:style w:type="paragraph" w:styleId="Title">
    <w:name w:val="Title"/>
    <w:basedOn w:val="Normal"/>
    <w:next w:val="Normal"/>
    <w:link w:val="TitleChar"/>
    <w:uiPriority w:val="10"/>
    <w:qFormat/>
    <w:rsid w:val="00E41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ECD"/>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ECD"/>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E41ECD"/>
    <w:pPr>
      <w:spacing w:before="160"/>
      <w:jc w:val="center"/>
    </w:pPr>
    <w:rPr>
      <w:i/>
      <w:iCs/>
      <w:color w:val="404040" w:themeColor="text1" w:themeTint="BF"/>
    </w:rPr>
  </w:style>
  <w:style w:type="character" w:customStyle="1" w:styleId="QuoteChar">
    <w:name w:val="Quote Char"/>
    <w:basedOn w:val="DefaultParagraphFont"/>
    <w:link w:val="Quote"/>
    <w:uiPriority w:val="29"/>
    <w:rsid w:val="00E41ECD"/>
    <w:rPr>
      <w:i/>
      <w:iCs/>
      <w:color w:val="404040" w:themeColor="text1" w:themeTint="BF"/>
    </w:rPr>
  </w:style>
  <w:style w:type="paragraph" w:styleId="ListParagraph">
    <w:name w:val="List Paragraph"/>
    <w:basedOn w:val="Normal"/>
    <w:uiPriority w:val="34"/>
    <w:qFormat/>
    <w:rsid w:val="00E41ECD"/>
    <w:pPr>
      <w:ind w:left="720"/>
      <w:contextualSpacing/>
    </w:pPr>
  </w:style>
  <w:style w:type="character" w:styleId="IntenseEmphasis">
    <w:name w:val="Intense Emphasis"/>
    <w:basedOn w:val="DefaultParagraphFont"/>
    <w:uiPriority w:val="21"/>
    <w:qFormat/>
    <w:rsid w:val="00E41ECD"/>
    <w:rPr>
      <w:i/>
      <w:iCs/>
      <w:color w:val="0F4761" w:themeColor="accent1" w:themeShade="BF"/>
    </w:rPr>
  </w:style>
  <w:style w:type="paragraph" w:styleId="IntenseQuote">
    <w:name w:val="Intense Quote"/>
    <w:basedOn w:val="Normal"/>
    <w:next w:val="Normal"/>
    <w:link w:val="IntenseQuoteChar"/>
    <w:uiPriority w:val="30"/>
    <w:qFormat/>
    <w:rsid w:val="00E41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ECD"/>
    <w:rPr>
      <w:i/>
      <w:iCs/>
      <w:color w:val="0F4761" w:themeColor="accent1" w:themeShade="BF"/>
    </w:rPr>
  </w:style>
  <w:style w:type="character" w:styleId="IntenseReference">
    <w:name w:val="Intense Reference"/>
    <w:basedOn w:val="DefaultParagraphFont"/>
    <w:uiPriority w:val="32"/>
    <w:qFormat/>
    <w:rsid w:val="00E41ECD"/>
    <w:rPr>
      <w:b/>
      <w:bCs/>
      <w:smallCaps/>
      <w:color w:val="0F4761" w:themeColor="accent1" w:themeShade="BF"/>
      <w:spacing w:val="5"/>
    </w:rPr>
  </w:style>
  <w:style w:type="paragraph" w:styleId="Header">
    <w:name w:val="header"/>
    <w:basedOn w:val="Normal"/>
    <w:link w:val="HeaderChar"/>
    <w:uiPriority w:val="99"/>
    <w:unhideWhenUsed/>
    <w:rsid w:val="00E4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CD"/>
  </w:style>
  <w:style w:type="paragraph" w:styleId="Footer">
    <w:name w:val="footer"/>
    <w:basedOn w:val="Normal"/>
    <w:link w:val="FooterChar"/>
    <w:uiPriority w:val="99"/>
    <w:unhideWhenUsed/>
    <w:rsid w:val="00E4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ECD"/>
  </w:style>
  <w:style w:type="table" w:styleId="TableGrid">
    <w:name w:val="Table Grid"/>
    <w:basedOn w:val="TableNormal"/>
    <w:uiPriority w:val="39"/>
    <w:rsid w:val="00E4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41ECD"/>
  </w:style>
  <w:style w:type="paragraph" w:styleId="Caption">
    <w:name w:val="caption"/>
    <w:basedOn w:val="Normal"/>
    <w:next w:val="Normal"/>
    <w:uiPriority w:val="35"/>
    <w:unhideWhenUsed/>
    <w:qFormat/>
    <w:rsid w:val="007F255D"/>
    <w:pPr>
      <w:spacing w:after="200" w:line="240" w:lineRule="auto"/>
      <w:ind w:firstLine="0"/>
      <w:jc w:val="center"/>
    </w:pPr>
    <w:rPr>
      <w:i/>
      <w:iCs/>
      <w:color w:val="0E2841" w:themeColor="text2"/>
      <w:sz w:val="18"/>
      <w:szCs w:val="18"/>
    </w:rPr>
  </w:style>
  <w:style w:type="character" w:styleId="Hyperlink">
    <w:name w:val="Hyperlink"/>
    <w:basedOn w:val="DefaultParagraphFont"/>
    <w:uiPriority w:val="99"/>
    <w:unhideWhenUsed/>
    <w:rsid w:val="00DD2D1B"/>
    <w:rPr>
      <w:color w:val="467886" w:themeColor="hyperlink"/>
      <w:u w:val="single"/>
    </w:rPr>
  </w:style>
  <w:style w:type="character" w:styleId="UnresolvedMention">
    <w:name w:val="Unresolved Mention"/>
    <w:basedOn w:val="DefaultParagraphFont"/>
    <w:uiPriority w:val="99"/>
    <w:semiHidden/>
    <w:unhideWhenUsed/>
    <w:rsid w:val="00DD2D1B"/>
    <w:rPr>
      <w:color w:val="605E5C"/>
      <w:shd w:val="clear" w:color="auto" w:fill="E1DFDD"/>
    </w:rPr>
  </w:style>
  <w:style w:type="character" w:styleId="FollowedHyperlink">
    <w:name w:val="FollowedHyperlink"/>
    <w:basedOn w:val="DefaultParagraphFont"/>
    <w:uiPriority w:val="99"/>
    <w:semiHidden/>
    <w:unhideWhenUsed/>
    <w:rsid w:val="00645413"/>
    <w:rPr>
      <w:color w:val="96607D" w:themeColor="followedHyperlink"/>
      <w:u w:val="single"/>
    </w:rPr>
  </w:style>
  <w:style w:type="paragraph" w:styleId="NormalWeb">
    <w:name w:val="Normal (Web)"/>
    <w:basedOn w:val="Normal"/>
    <w:uiPriority w:val="99"/>
    <w:unhideWhenUsed/>
    <w:rsid w:val="00330EC2"/>
    <w:pPr>
      <w:spacing w:before="100" w:beforeAutospacing="1" w:after="100" w:afterAutospacing="1" w:line="240" w:lineRule="auto"/>
      <w:ind w:firstLine="0"/>
    </w:pPr>
    <w:rPr>
      <w:rFonts w:ascii="Times New Roman" w:eastAsia="Times New Roman" w:hAnsi="Times New Roman" w:cs="Times New Roman"/>
      <w:kern w:val="0"/>
      <w:sz w:val="24"/>
      <w:szCs w:val="24"/>
      <w:lang w:val="en-GB" w:eastAsia="zh-CN"/>
      <w14:ligatures w14:val="none"/>
    </w:rPr>
  </w:style>
  <w:style w:type="character" w:styleId="Strong">
    <w:name w:val="Strong"/>
    <w:basedOn w:val="DefaultParagraphFont"/>
    <w:uiPriority w:val="22"/>
    <w:qFormat/>
    <w:rsid w:val="00330EC2"/>
    <w:rPr>
      <w:b/>
      <w:bCs/>
    </w:rPr>
  </w:style>
  <w:style w:type="character" w:styleId="Emphasis">
    <w:name w:val="Emphasis"/>
    <w:basedOn w:val="DefaultParagraphFont"/>
    <w:uiPriority w:val="20"/>
    <w:qFormat/>
    <w:rsid w:val="008D3C3E"/>
    <w:rPr>
      <w:i/>
      <w:iCs/>
    </w:rPr>
  </w:style>
  <w:style w:type="paragraph" w:customStyle="1" w:styleId="my-2">
    <w:name w:val="my-2"/>
    <w:basedOn w:val="Normal"/>
    <w:rsid w:val="00614BF4"/>
    <w:pPr>
      <w:spacing w:before="100" w:beforeAutospacing="1" w:after="100" w:afterAutospacing="1" w:line="240" w:lineRule="auto"/>
      <w:ind w:firstLine="0"/>
    </w:pPr>
    <w:rPr>
      <w:rFonts w:ascii="Times New Roman" w:eastAsia="Times New Roman" w:hAnsi="Times New Roman" w:cs="Times New Roman"/>
      <w:kern w:val="0"/>
      <w:sz w:val="24"/>
      <w:szCs w:val="24"/>
      <w:lang w:val="en-GB" w:eastAsia="zh-CN"/>
      <w14:ligatures w14:val="none"/>
    </w:rPr>
  </w:style>
  <w:style w:type="character" w:customStyle="1" w:styleId="inline-flex">
    <w:name w:val="inline-flex"/>
    <w:basedOn w:val="DefaultParagraphFont"/>
    <w:rsid w:val="001A5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n/publications/reo/ssa/issues/2025/10/16/regional-economic-outlook-for-sub-saharan-africa-october-2025" TargetMode="External"/><Relationship Id="rId13" Type="http://schemas.openxmlformats.org/officeDocument/2006/relationships/hyperlink" Target="https://onlinelibrary.wiley.com/doi/10.1111/rode.13163" TargetMode="External"/><Relationship Id="rId18" Type="http://schemas.openxmlformats.org/officeDocument/2006/relationships/hyperlink" Target="http://www.addistaxinitiative.net/sites/default/files/resources/Day%203_Tax%20gap%20estimation%20in%20ATI%20partner%20countries.pdf" TargetMode="Externa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fdb.org/en/knowledge/publications/african-economic-outlook" TargetMode="External"/><Relationship Id="rId17" Type="http://schemas.openxmlformats.org/officeDocument/2006/relationships/hyperlink" Target="http://www.statista.com/statistics/1134287/informal-sector-employment-in-kenya-by-activit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dp.org/africa/publications/income-inequality-trends-sub-saharan-africa-divergence-determinants-and-consequences" TargetMode="External"/><Relationship Id="rId20" Type="http://schemas.openxmlformats.org/officeDocument/2006/relationships/hyperlink" Target="http://www.ictd.ac/blog/wealthy-africans-often-dont-pay-tax-the-answer-lies-in-smarter-colle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f.org/en/Topics/fiscal-polici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AQOePkhHqDI" TargetMode="External"/><Relationship Id="rId23" Type="http://schemas.openxmlformats.org/officeDocument/2006/relationships/footer" Target="footer2.xml"/><Relationship Id="rId10" Type="http://schemas.openxmlformats.org/officeDocument/2006/relationships/hyperlink" Target="https://www.worldbank.org/en/topic/taxes-and-government-revenue" TargetMode="External"/><Relationship Id="rId19" Type="http://schemas.openxmlformats.org/officeDocument/2006/relationships/hyperlink" Target="http://www.imf.org/-/media/files/publications/reo/afr/2025/october/english/text.pdf" TargetMode="External"/><Relationship Id="rId4" Type="http://schemas.openxmlformats.org/officeDocument/2006/relationships/settings" Target="settings.xml"/><Relationship Id="rId9" Type="http://schemas.openxmlformats.org/officeDocument/2006/relationships/hyperlink" Target="https://www.oecd.org/tax/revenue-statistics-in-africa.htm" TargetMode="External"/><Relationship Id="rId14" Type="http://schemas.openxmlformats.org/officeDocument/2006/relationships/hyperlink" Target="https://www.youtube.com/watch?v=-1KxDDATSOQ"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D488-B834-1146-8BE5-B79328FD6E76}">
  <ds:schemaRefs>
    <ds:schemaRef ds:uri="http://schemas.openxmlformats.org/officeDocument/2006/bibliography"/>
  </ds:schemaRefs>
</ds:datastoreItem>
</file>

<file path=docMetadata/LabelInfo.xml><?xml version="1.0" encoding="utf-8"?>
<clbl:labelList xmlns:clbl="http://schemas.microsoft.com/office/2020/mipLabelMetadata">
  <clbl:label id="{a18a9404-3f73-4e5f-844c-6d29f51269b0}" enabled="0" method="" siteId="{a18a9404-3f73-4e5f-844c-6d29f51269b0}"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Zhou;Alexander</dc:creator>
  <cp:keywords/>
  <dc:description/>
  <cp:lastModifiedBy>Wenqi Chen</cp:lastModifiedBy>
  <cp:revision>3</cp:revision>
  <cp:lastPrinted>2024-06-19T21:18:00Z</cp:lastPrinted>
  <dcterms:created xsi:type="dcterms:W3CDTF">2026-02-27T07:09:00Z</dcterms:created>
  <dcterms:modified xsi:type="dcterms:W3CDTF">2026-02-27T07:13:00Z</dcterms:modified>
</cp:coreProperties>
</file>